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22C" w:rsidRDefault="00966864" w:rsidP="008259DB">
      <w:pPr>
        <w:jc w:val="center"/>
        <w:rPr>
          <w:b/>
        </w:rPr>
      </w:pPr>
      <w:r w:rsidRPr="00966864">
        <w:rPr>
          <w:b/>
        </w:rPr>
        <w:t>COVENTRY CITY COUNCIL</w:t>
      </w:r>
    </w:p>
    <w:p w:rsidR="008259DB" w:rsidRDefault="008259DB" w:rsidP="008259DB">
      <w:pPr>
        <w:jc w:val="center"/>
        <w:rPr>
          <w:b/>
        </w:rPr>
      </w:pPr>
    </w:p>
    <w:p w:rsidR="000A3A06" w:rsidRPr="00231E6F" w:rsidRDefault="00FC6366" w:rsidP="00231E6F">
      <w:pPr>
        <w:jc w:val="center"/>
        <w:rPr>
          <w:b/>
        </w:rPr>
      </w:pPr>
      <w:r w:rsidRPr="000A3A06">
        <w:rPr>
          <w:b/>
        </w:rPr>
        <w:t xml:space="preserve">DECISION NOTICE </w:t>
      </w:r>
      <w:r w:rsidR="00231E6F">
        <w:rPr>
          <w:b/>
        </w:rPr>
        <w:t>OF ETHICS COMMITTEE</w:t>
      </w:r>
    </w:p>
    <w:p w:rsidR="0010157A" w:rsidRPr="00DE4F73" w:rsidRDefault="00231E6F" w:rsidP="00DE4F73">
      <w:pPr>
        <w:ind w:left="1440"/>
        <w:rPr>
          <w:b/>
        </w:rPr>
      </w:pPr>
      <w:r>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5"/>
        <w:gridCol w:w="7901"/>
      </w:tblGrid>
      <w:tr w:rsidR="0010157A" w:rsidTr="00093CFE">
        <w:tc>
          <w:tcPr>
            <w:tcW w:w="1133" w:type="dxa"/>
          </w:tcPr>
          <w:p w:rsidR="0010157A" w:rsidRPr="00231E6F" w:rsidRDefault="00231E6F" w:rsidP="00FC6366">
            <w:pPr>
              <w:rPr>
                <w:b/>
              </w:rPr>
            </w:pPr>
            <w:r w:rsidRPr="00231E6F">
              <w:rPr>
                <w:b/>
              </w:rPr>
              <w:t>A</w:t>
            </w:r>
          </w:p>
        </w:tc>
        <w:tc>
          <w:tcPr>
            <w:tcW w:w="7893" w:type="dxa"/>
          </w:tcPr>
          <w:p w:rsidR="0010157A" w:rsidRPr="00834C7B" w:rsidRDefault="00231E6F" w:rsidP="00803FA9">
            <w:r w:rsidRPr="00834C7B">
              <w:rPr>
                <w:b/>
              </w:rPr>
              <w:t>Complaint by:</w:t>
            </w:r>
            <w:r w:rsidRPr="00834C7B">
              <w:t xml:space="preserve"> </w:t>
            </w:r>
            <w:r w:rsidR="007C224C">
              <w:t>Councillor John Mutton</w:t>
            </w:r>
          </w:p>
        </w:tc>
      </w:tr>
      <w:tr w:rsidR="00231E6F" w:rsidTr="00093CFE">
        <w:tc>
          <w:tcPr>
            <w:tcW w:w="1133" w:type="dxa"/>
          </w:tcPr>
          <w:p w:rsidR="00231E6F" w:rsidRPr="00231E6F" w:rsidRDefault="00231E6F" w:rsidP="00FC6366">
            <w:pPr>
              <w:rPr>
                <w:b/>
              </w:rPr>
            </w:pPr>
          </w:p>
        </w:tc>
        <w:tc>
          <w:tcPr>
            <w:tcW w:w="7893" w:type="dxa"/>
          </w:tcPr>
          <w:p w:rsidR="00231E6F" w:rsidRPr="00834C7B" w:rsidRDefault="00803FA9" w:rsidP="00834C7B">
            <w:pPr>
              <w:ind w:firstLine="1593"/>
            </w:pPr>
            <w:r>
              <w:t>(“the Complainant</w:t>
            </w:r>
            <w:r w:rsidR="00231E6F" w:rsidRPr="00834C7B">
              <w:t>”)</w:t>
            </w:r>
          </w:p>
        </w:tc>
      </w:tr>
      <w:tr w:rsidR="00231E6F" w:rsidTr="0019476B">
        <w:tc>
          <w:tcPr>
            <w:tcW w:w="1133" w:type="dxa"/>
          </w:tcPr>
          <w:p w:rsidR="00231E6F" w:rsidRPr="00231E6F" w:rsidRDefault="00231E6F" w:rsidP="00FC6366">
            <w:pPr>
              <w:rPr>
                <w:b/>
              </w:rPr>
            </w:pPr>
          </w:p>
        </w:tc>
        <w:tc>
          <w:tcPr>
            <w:tcW w:w="7893" w:type="dxa"/>
          </w:tcPr>
          <w:p w:rsidR="00231E6F" w:rsidRDefault="00231E6F" w:rsidP="00FC6366"/>
          <w:p w:rsidR="00467310" w:rsidRDefault="00467310" w:rsidP="00FC6366"/>
        </w:tc>
      </w:tr>
      <w:tr w:rsidR="00231E6F" w:rsidTr="0019476B">
        <w:tc>
          <w:tcPr>
            <w:tcW w:w="1133" w:type="dxa"/>
          </w:tcPr>
          <w:p w:rsidR="00231E6F" w:rsidRPr="00231E6F" w:rsidRDefault="00231E6F" w:rsidP="00FC6366">
            <w:pPr>
              <w:rPr>
                <w:b/>
              </w:rPr>
            </w:pPr>
            <w:r w:rsidRPr="00231E6F">
              <w:rPr>
                <w:b/>
              </w:rPr>
              <w:t>B</w:t>
            </w:r>
          </w:p>
        </w:tc>
        <w:tc>
          <w:tcPr>
            <w:tcW w:w="7893" w:type="dxa"/>
          </w:tcPr>
          <w:p w:rsidR="00231E6F" w:rsidRPr="00387D3A" w:rsidRDefault="00803FA9" w:rsidP="00387D3A">
            <w:pPr>
              <w:ind w:left="2160" w:hanging="2160"/>
            </w:pPr>
            <w:r>
              <w:rPr>
                <w:b/>
              </w:rPr>
              <w:t>Subject Member</w:t>
            </w:r>
            <w:r w:rsidR="00231E6F" w:rsidRPr="00231E6F">
              <w:rPr>
                <w:b/>
              </w:rPr>
              <w:t xml:space="preserve">: </w:t>
            </w:r>
            <w:r w:rsidR="007C224C">
              <w:t>Councillor Glenn Williams</w:t>
            </w:r>
            <w:r w:rsidR="00940551" w:rsidRPr="00834C7B">
              <w:t xml:space="preserve">                      </w:t>
            </w:r>
          </w:p>
        </w:tc>
      </w:tr>
      <w:tr w:rsidR="00231E6F" w:rsidTr="0019476B">
        <w:tc>
          <w:tcPr>
            <w:tcW w:w="1133" w:type="dxa"/>
          </w:tcPr>
          <w:p w:rsidR="00231E6F" w:rsidRDefault="00231E6F" w:rsidP="00FC6366"/>
        </w:tc>
        <w:tc>
          <w:tcPr>
            <w:tcW w:w="7893" w:type="dxa"/>
          </w:tcPr>
          <w:p w:rsidR="00231E6F" w:rsidRDefault="00231E6F" w:rsidP="00FC6366"/>
          <w:p w:rsidR="00467310" w:rsidRDefault="00467310" w:rsidP="00FC6366"/>
        </w:tc>
      </w:tr>
      <w:tr w:rsidR="00231E6F" w:rsidTr="0019476B">
        <w:tc>
          <w:tcPr>
            <w:tcW w:w="1133" w:type="dxa"/>
          </w:tcPr>
          <w:p w:rsidR="00231E6F" w:rsidRPr="00231E6F" w:rsidRDefault="00231E6F" w:rsidP="00FC6366">
            <w:pPr>
              <w:rPr>
                <w:b/>
              </w:rPr>
            </w:pPr>
            <w:r w:rsidRPr="00231E6F">
              <w:rPr>
                <w:b/>
              </w:rPr>
              <w:t>C</w:t>
            </w:r>
          </w:p>
        </w:tc>
        <w:tc>
          <w:tcPr>
            <w:tcW w:w="7893" w:type="dxa"/>
          </w:tcPr>
          <w:p w:rsidR="00231E6F" w:rsidRPr="00231E6F" w:rsidRDefault="00231E6F" w:rsidP="00FC6366">
            <w:pPr>
              <w:rPr>
                <w:b/>
              </w:rPr>
            </w:pPr>
            <w:r w:rsidRPr="00231E6F">
              <w:rPr>
                <w:b/>
              </w:rPr>
              <w:t xml:space="preserve">Introduction </w:t>
            </w:r>
          </w:p>
        </w:tc>
      </w:tr>
      <w:tr w:rsidR="00231E6F" w:rsidTr="0019476B">
        <w:tc>
          <w:tcPr>
            <w:tcW w:w="1133" w:type="dxa"/>
          </w:tcPr>
          <w:p w:rsidR="00231E6F" w:rsidRDefault="00231E6F" w:rsidP="00FC6366"/>
          <w:p w:rsidR="00231E6F" w:rsidRDefault="00231E6F" w:rsidP="00FC6366">
            <w:r>
              <w:t>1.</w:t>
            </w:r>
          </w:p>
        </w:tc>
        <w:tc>
          <w:tcPr>
            <w:tcW w:w="7893" w:type="dxa"/>
          </w:tcPr>
          <w:p w:rsidR="00231E6F" w:rsidRDefault="00231E6F" w:rsidP="00FC6366"/>
          <w:p w:rsidR="00231E6F" w:rsidRDefault="00485D7D" w:rsidP="00803FA9">
            <w:r>
              <w:t>On 6</w:t>
            </w:r>
            <w:r w:rsidR="00231E6F" w:rsidRPr="00231E6F">
              <w:rPr>
                <w:vertAlign w:val="superscript"/>
              </w:rPr>
              <w:t xml:space="preserve"> </w:t>
            </w:r>
            <w:r>
              <w:t>November 2018</w:t>
            </w:r>
            <w:r w:rsidR="00231E6F">
              <w:t>, the Ethics Committee of Coventry City Council considered a report of an investigation into the a</w:t>
            </w:r>
            <w:r w:rsidR="00803FA9">
              <w:t>lleged con</w:t>
            </w:r>
            <w:r w:rsidR="007C224C">
              <w:t>duct of Cllr Glenn Williams</w:t>
            </w:r>
            <w:r w:rsidR="00231E6F">
              <w:t xml:space="preserve">, </w:t>
            </w:r>
            <w:r w:rsidR="00803FA9">
              <w:t>a member</w:t>
            </w:r>
            <w:r w:rsidR="00231E6F">
              <w:t xml:space="preserve"> of Coventry City Council. A general summary of the complaint is set out below.</w:t>
            </w:r>
          </w:p>
        </w:tc>
      </w:tr>
      <w:tr w:rsidR="00231E6F" w:rsidTr="00A81F62">
        <w:tc>
          <w:tcPr>
            <w:tcW w:w="1150" w:type="dxa"/>
          </w:tcPr>
          <w:p w:rsidR="00231E6F" w:rsidRDefault="00231E6F" w:rsidP="00FC6366"/>
        </w:tc>
        <w:tc>
          <w:tcPr>
            <w:tcW w:w="8092" w:type="dxa"/>
          </w:tcPr>
          <w:p w:rsidR="00231E6F" w:rsidRDefault="00231E6F" w:rsidP="00FC6366"/>
          <w:p w:rsidR="00467310" w:rsidRDefault="00467310" w:rsidP="00FC6366"/>
        </w:tc>
      </w:tr>
      <w:tr w:rsidR="00231E6F" w:rsidTr="00A81F62">
        <w:tc>
          <w:tcPr>
            <w:tcW w:w="1150" w:type="dxa"/>
          </w:tcPr>
          <w:p w:rsidR="00231E6F" w:rsidRPr="00231E6F" w:rsidRDefault="00231E6F" w:rsidP="00FC6366">
            <w:pPr>
              <w:rPr>
                <w:b/>
              </w:rPr>
            </w:pPr>
            <w:r w:rsidRPr="00231E6F">
              <w:rPr>
                <w:b/>
              </w:rPr>
              <w:t>D</w:t>
            </w:r>
          </w:p>
        </w:tc>
        <w:tc>
          <w:tcPr>
            <w:tcW w:w="8092" w:type="dxa"/>
          </w:tcPr>
          <w:p w:rsidR="00231E6F" w:rsidRPr="002B75C1" w:rsidRDefault="00231E6F" w:rsidP="00FC6366">
            <w:pPr>
              <w:rPr>
                <w:b/>
              </w:rPr>
            </w:pPr>
            <w:r w:rsidRPr="00231E6F">
              <w:rPr>
                <w:b/>
              </w:rPr>
              <w:t>Complaint summary</w:t>
            </w:r>
          </w:p>
        </w:tc>
      </w:tr>
      <w:tr w:rsidR="00231E6F" w:rsidTr="00A81F62">
        <w:tc>
          <w:tcPr>
            <w:tcW w:w="1150" w:type="dxa"/>
          </w:tcPr>
          <w:p w:rsidR="00231E6F" w:rsidRDefault="00231E6F" w:rsidP="00FC6366"/>
        </w:tc>
        <w:tc>
          <w:tcPr>
            <w:tcW w:w="8092" w:type="dxa"/>
          </w:tcPr>
          <w:p w:rsidR="00231E6F" w:rsidRDefault="00231E6F" w:rsidP="00FC6366"/>
        </w:tc>
      </w:tr>
      <w:tr w:rsidR="00231E6F" w:rsidTr="00A81F62">
        <w:tc>
          <w:tcPr>
            <w:tcW w:w="1150" w:type="dxa"/>
          </w:tcPr>
          <w:p w:rsidR="00231E6F" w:rsidRDefault="002B75C1" w:rsidP="00FC6366">
            <w:r>
              <w:t>2.</w:t>
            </w:r>
            <w:r w:rsidR="001E0731">
              <w:t>1</w:t>
            </w:r>
          </w:p>
        </w:tc>
        <w:tc>
          <w:tcPr>
            <w:tcW w:w="8092" w:type="dxa"/>
          </w:tcPr>
          <w:p w:rsidR="00921200" w:rsidRPr="00C1433D" w:rsidRDefault="00803FA9" w:rsidP="00C1433D">
            <w:pPr>
              <w:pStyle w:val="ListParagraph"/>
              <w:ind w:left="34" w:hanging="34"/>
            </w:pPr>
            <w:r>
              <w:t>The Complainant</w:t>
            </w:r>
            <w:r w:rsidR="002B75C1">
              <w:t xml:space="preserve"> </w:t>
            </w:r>
            <w:r w:rsidR="007C224C">
              <w:t>alleged that Cllr Williams</w:t>
            </w:r>
            <w:r w:rsidR="00CC1E5B">
              <w:t xml:space="preserve"> had </w:t>
            </w:r>
            <w:r w:rsidR="007C224C" w:rsidRPr="007C224C">
              <w:t xml:space="preserve">tweeted a comment on social media that was a deliberate misrepresentation of what Cllr Mutton had said during a radio interview and used this to assert that Cllr Mutton was ignorant of the facts.  </w:t>
            </w:r>
            <w:r w:rsidR="007C224C">
              <w:t>Cllr Mutton had raised the matter informally with the Monitoring Officer who had asked Cllr Williams to delete the tweet and apologise. Cllr Williams was unwilling to do this and so, on 5 March 2018, Cllr Mutt</w:t>
            </w:r>
            <w:r w:rsidR="00C1433D">
              <w:t>on submitted a formal complaint.</w:t>
            </w:r>
          </w:p>
        </w:tc>
      </w:tr>
      <w:tr w:rsidR="001E0731" w:rsidTr="00A81F62">
        <w:tc>
          <w:tcPr>
            <w:tcW w:w="1150" w:type="dxa"/>
          </w:tcPr>
          <w:p w:rsidR="001E0731" w:rsidRDefault="001E0731" w:rsidP="00FC6366"/>
        </w:tc>
        <w:tc>
          <w:tcPr>
            <w:tcW w:w="8092" w:type="dxa"/>
          </w:tcPr>
          <w:p w:rsidR="001E0731" w:rsidRDefault="001E0731" w:rsidP="00921200"/>
        </w:tc>
      </w:tr>
      <w:tr w:rsidR="001E0731" w:rsidTr="00A81F62">
        <w:tc>
          <w:tcPr>
            <w:tcW w:w="1150" w:type="dxa"/>
          </w:tcPr>
          <w:p w:rsidR="001E0731" w:rsidRDefault="001E0731" w:rsidP="00FC6366">
            <w:r>
              <w:t xml:space="preserve">2.2 </w:t>
            </w:r>
          </w:p>
        </w:tc>
        <w:tc>
          <w:tcPr>
            <w:tcW w:w="8092" w:type="dxa"/>
          </w:tcPr>
          <w:p w:rsidR="001E0731" w:rsidRPr="00C1433D" w:rsidRDefault="00C1433D" w:rsidP="00921200">
            <w:r w:rsidRPr="00C1433D">
              <w:t>The Monitoring Officer conducted an initial review of the complaint and concluded that</w:t>
            </w:r>
            <w:r w:rsidR="006B1519">
              <w:t>,</w:t>
            </w:r>
            <w:r w:rsidRPr="00C1433D">
              <w:t xml:space="preserve"> while Cllr Williams’ comments were misleading, his misinterpretation was not deliberate. She recommended no further action but recommended that Cllr Williams should be more careful when tweeting and be clear on his facts before so doing.</w:t>
            </w:r>
          </w:p>
        </w:tc>
      </w:tr>
      <w:tr w:rsidR="001E0731" w:rsidTr="00A81F62">
        <w:tc>
          <w:tcPr>
            <w:tcW w:w="1150" w:type="dxa"/>
          </w:tcPr>
          <w:p w:rsidR="001E0731" w:rsidRDefault="001E0731" w:rsidP="00FC6366"/>
        </w:tc>
        <w:tc>
          <w:tcPr>
            <w:tcW w:w="8092" w:type="dxa"/>
          </w:tcPr>
          <w:p w:rsidR="001E0731" w:rsidRPr="00C1433D" w:rsidRDefault="001E0731" w:rsidP="00921200"/>
        </w:tc>
      </w:tr>
      <w:tr w:rsidR="001E0731" w:rsidTr="00A81F62">
        <w:tc>
          <w:tcPr>
            <w:tcW w:w="1150" w:type="dxa"/>
          </w:tcPr>
          <w:p w:rsidR="001E0731" w:rsidRDefault="001E0731" w:rsidP="00FC6366">
            <w:r>
              <w:t>2.3</w:t>
            </w:r>
          </w:p>
        </w:tc>
        <w:tc>
          <w:tcPr>
            <w:tcW w:w="8092" w:type="dxa"/>
          </w:tcPr>
          <w:p w:rsidR="001E0731" w:rsidRPr="00C1433D" w:rsidRDefault="00C1433D" w:rsidP="00C1433D">
            <w:pPr>
              <w:pStyle w:val="ListParagraph"/>
              <w:ind w:left="34"/>
              <w:rPr>
                <w:caps/>
              </w:rPr>
            </w:pPr>
            <w:r w:rsidRPr="00C1433D">
              <w:t>The matter was not able to be resolved by informal resolution and following comments by the Independent Person, a further review of the complaint was carried out by an Independent Investigator, Andrew Kinsey</w:t>
            </w:r>
            <w:r>
              <w:t xml:space="preserve"> of Solihull Metropolitan Borough Council</w:t>
            </w:r>
            <w:r w:rsidRPr="00C1433D">
              <w:rPr>
                <w:caps/>
              </w:rPr>
              <w:t xml:space="preserve">. </w:t>
            </w:r>
            <w:r w:rsidRPr="00C1433D">
              <w:t xml:space="preserve">Mr Kinsey concluded that the matter had not reached the threshold required to be considered as a potential breach of the Code of Conduct </w:t>
            </w:r>
            <w:r w:rsidR="006B1519">
              <w:t>and</w:t>
            </w:r>
            <w:r w:rsidRPr="00C1433D">
              <w:t xml:space="preserve"> that it was </w:t>
            </w:r>
            <w:r w:rsidR="006B1519">
              <w:t xml:space="preserve">therefore not </w:t>
            </w:r>
            <w:r w:rsidRPr="00C1433D">
              <w:t>in the public interest to pursue the matter further. He did</w:t>
            </w:r>
            <w:r w:rsidR="006B1519">
              <w:t>,</w:t>
            </w:r>
            <w:r w:rsidRPr="00C1433D">
              <w:t xml:space="preserve"> however</w:t>
            </w:r>
            <w:r w:rsidR="006B1519">
              <w:t>,</w:t>
            </w:r>
            <w:r w:rsidRPr="00C1433D">
              <w:t xml:space="preserve"> suggest that</w:t>
            </w:r>
            <w:r w:rsidR="006B1519">
              <w:t>,</w:t>
            </w:r>
            <w:r w:rsidRPr="00C1433D">
              <w:t xml:space="preserve"> in the light of the comments of the Independent Person and the failure to agree an informal resolution</w:t>
            </w:r>
            <w:r w:rsidR="006B1519">
              <w:t>,</w:t>
            </w:r>
            <w:r w:rsidRPr="00C1433D">
              <w:t xml:space="preserve"> the Monitoring Officer could consider referring the matter for a hearing</w:t>
            </w:r>
            <w:r>
              <w:t>.</w:t>
            </w:r>
          </w:p>
        </w:tc>
      </w:tr>
      <w:tr w:rsidR="00127116" w:rsidTr="00A81F62">
        <w:tc>
          <w:tcPr>
            <w:tcW w:w="1150" w:type="dxa"/>
          </w:tcPr>
          <w:p w:rsidR="00127116" w:rsidRDefault="00127116" w:rsidP="00FC6366"/>
        </w:tc>
        <w:tc>
          <w:tcPr>
            <w:tcW w:w="8092" w:type="dxa"/>
          </w:tcPr>
          <w:p w:rsidR="00127116" w:rsidRDefault="00127116" w:rsidP="001E0731"/>
        </w:tc>
      </w:tr>
      <w:tr w:rsidR="001E0731" w:rsidTr="00A81F62">
        <w:tc>
          <w:tcPr>
            <w:tcW w:w="1150" w:type="dxa"/>
          </w:tcPr>
          <w:p w:rsidR="001E0731" w:rsidRDefault="00F4508F" w:rsidP="00FC6366">
            <w:r>
              <w:lastRenderedPageBreak/>
              <w:t xml:space="preserve">2.4 </w:t>
            </w:r>
          </w:p>
        </w:tc>
        <w:tc>
          <w:tcPr>
            <w:tcW w:w="8092" w:type="dxa"/>
          </w:tcPr>
          <w:p w:rsidR="00F4508F" w:rsidRDefault="00C1433D" w:rsidP="001E0731">
            <w:r>
              <w:t xml:space="preserve">The hearing was therefore concerned with whether Cllr Williams’ comments in his tweet breached the Code of Conduct in the following respects: </w:t>
            </w:r>
          </w:p>
          <w:p w:rsidR="00F4508F" w:rsidRPr="00B335F1" w:rsidRDefault="00C1433D" w:rsidP="00F4508F">
            <w:pPr>
              <w:pStyle w:val="ListParagraph"/>
              <w:numPr>
                <w:ilvl w:val="0"/>
                <w:numId w:val="14"/>
              </w:numPr>
              <w:rPr>
                <w:i/>
              </w:rPr>
            </w:pPr>
            <w:r w:rsidRPr="00C1433D">
              <w:rPr>
                <w:i/>
              </w:rPr>
              <w:t>Paragraph 3(</w:t>
            </w:r>
            <w:proofErr w:type="spellStart"/>
            <w:r w:rsidRPr="00C1433D">
              <w:rPr>
                <w:i/>
              </w:rPr>
              <w:t>i</w:t>
            </w:r>
            <w:proofErr w:type="spellEnd"/>
            <w:r w:rsidRPr="00C1433D">
              <w:rPr>
                <w:i/>
              </w:rPr>
              <w:t>):</w:t>
            </w:r>
            <w:r>
              <w:t xml:space="preserve"> </w:t>
            </w:r>
            <w:r w:rsidRPr="00B335F1">
              <w:rPr>
                <w:i/>
              </w:rPr>
              <w:t xml:space="preserve">Value my colleagues and staff and engage with them in an appropriate manner and one that underpins the mutual respect between us that is essential to good local government; and </w:t>
            </w:r>
          </w:p>
          <w:p w:rsidR="00F4508F" w:rsidRPr="00B335F1" w:rsidRDefault="00C1433D" w:rsidP="00B335F1">
            <w:pPr>
              <w:pStyle w:val="ListParagraph"/>
              <w:numPr>
                <w:ilvl w:val="0"/>
                <w:numId w:val="14"/>
              </w:numPr>
              <w:rPr>
                <w:i/>
              </w:rPr>
            </w:pPr>
            <w:r w:rsidRPr="00C1433D">
              <w:rPr>
                <w:i/>
              </w:rPr>
              <w:t xml:space="preserve">Paragraph 3(j): </w:t>
            </w:r>
            <w:r w:rsidR="00B335F1">
              <w:rPr>
                <w:i/>
              </w:rPr>
              <w:t xml:space="preserve">Always treat people with respect, including the organisations and public I engage with and those I work alongside. </w:t>
            </w:r>
          </w:p>
        </w:tc>
      </w:tr>
      <w:tr w:rsidR="002B75C1" w:rsidTr="00921200">
        <w:tc>
          <w:tcPr>
            <w:tcW w:w="1138" w:type="dxa"/>
          </w:tcPr>
          <w:p w:rsidR="002B75C1" w:rsidRDefault="002B75C1" w:rsidP="00FC6366"/>
        </w:tc>
        <w:tc>
          <w:tcPr>
            <w:tcW w:w="7888" w:type="dxa"/>
          </w:tcPr>
          <w:p w:rsidR="00467310" w:rsidRDefault="00467310" w:rsidP="00FC6366"/>
          <w:p w:rsidR="006F5BA6" w:rsidRDefault="006F5BA6" w:rsidP="00FC6366"/>
        </w:tc>
      </w:tr>
      <w:tr w:rsidR="00834C7B" w:rsidTr="00B335F1">
        <w:tc>
          <w:tcPr>
            <w:tcW w:w="1133" w:type="dxa"/>
          </w:tcPr>
          <w:p w:rsidR="00834C7B" w:rsidRPr="00834C7B" w:rsidRDefault="00834C7B" w:rsidP="00FC6366">
            <w:pPr>
              <w:rPr>
                <w:b/>
              </w:rPr>
            </w:pPr>
            <w:r w:rsidRPr="00834C7B">
              <w:rPr>
                <w:b/>
              </w:rPr>
              <w:t>E</w:t>
            </w:r>
          </w:p>
        </w:tc>
        <w:tc>
          <w:tcPr>
            <w:tcW w:w="7893" w:type="dxa"/>
          </w:tcPr>
          <w:p w:rsidR="00834C7B" w:rsidRPr="00834C7B" w:rsidRDefault="00834C7B" w:rsidP="00FC6366">
            <w:pPr>
              <w:rPr>
                <w:b/>
              </w:rPr>
            </w:pPr>
            <w:r w:rsidRPr="00834C7B">
              <w:rPr>
                <w:b/>
              </w:rPr>
              <w:t xml:space="preserve">Hearing </w:t>
            </w:r>
          </w:p>
        </w:tc>
      </w:tr>
      <w:tr w:rsidR="00834C7B" w:rsidTr="00B335F1">
        <w:tc>
          <w:tcPr>
            <w:tcW w:w="1133" w:type="dxa"/>
          </w:tcPr>
          <w:p w:rsidR="00834C7B" w:rsidRDefault="00834C7B" w:rsidP="00FC6366"/>
        </w:tc>
        <w:tc>
          <w:tcPr>
            <w:tcW w:w="7893" w:type="dxa"/>
          </w:tcPr>
          <w:p w:rsidR="00834C7B" w:rsidRDefault="00834C7B" w:rsidP="00FC6366"/>
        </w:tc>
      </w:tr>
      <w:tr w:rsidR="00834C7B" w:rsidTr="00B335F1">
        <w:tc>
          <w:tcPr>
            <w:tcW w:w="1133" w:type="dxa"/>
          </w:tcPr>
          <w:p w:rsidR="00834C7B" w:rsidRDefault="00834C7B" w:rsidP="00FC6366">
            <w:r>
              <w:t>3.</w:t>
            </w:r>
            <w:r w:rsidR="006B1519">
              <w:t>1</w:t>
            </w:r>
          </w:p>
        </w:tc>
        <w:tc>
          <w:tcPr>
            <w:tcW w:w="7893" w:type="dxa"/>
          </w:tcPr>
          <w:p w:rsidR="00834C7B" w:rsidRDefault="00834C7B" w:rsidP="00FC6366">
            <w:r>
              <w:t>The Ethics Committee consisted of:</w:t>
            </w:r>
          </w:p>
        </w:tc>
      </w:tr>
      <w:tr w:rsidR="00834C7B" w:rsidTr="00B335F1">
        <w:tc>
          <w:tcPr>
            <w:tcW w:w="1133" w:type="dxa"/>
          </w:tcPr>
          <w:p w:rsidR="00834C7B" w:rsidRDefault="00834C7B" w:rsidP="00FC6366"/>
        </w:tc>
        <w:tc>
          <w:tcPr>
            <w:tcW w:w="7893" w:type="dxa"/>
          </w:tcPr>
          <w:p w:rsidR="00485D7D" w:rsidRDefault="00485D7D" w:rsidP="00485D7D">
            <w:pPr>
              <w:pStyle w:val="ListParagraph"/>
              <w:numPr>
                <w:ilvl w:val="0"/>
                <w:numId w:val="8"/>
              </w:numPr>
            </w:pPr>
            <w:r>
              <w:t>Cllr Allan Andrews</w:t>
            </w:r>
          </w:p>
          <w:p w:rsidR="00834C7B" w:rsidRDefault="003078B6" w:rsidP="00485D7D">
            <w:pPr>
              <w:pStyle w:val="ListParagraph"/>
              <w:numPr>
                <w:ilvl w:val="0"/>
                <w:numId w:val="8"/>
              </w:numPr>
            </w:pPr>
            <w:r>
              <w:t xml:space="preserve">Cllr </w:t>
            </w:r>
            <w:r w:rsidR="00485D7D">
              <w:t>Linda Bigham</w:t>
            </w:r>
          </w:p>
          <w:p w:rsidR="00834C7B" w:rsidRDefault="006E5FC5" w:rsidP="00834C7B">
            <w:pPr>
              <w:pStyle w:val="ListParagraph"/>
              <w:numPr>
                <w:ilvl w:val="0"/>
                <w:numId w:val="8"/>
              </w:numPr>
            </w:pPr>
            <w:r>
              <w:t>Cllr Damia</w:t>
            </w:r>
            <w:r w:rsidR="00834C7B">
              <w:t>n Gannon</w:t>
            </w:r>
          </w:p>
          <w:p w:rsidR="00485D7D" w:rsidRDefault="00485D7D" w:rsidP="00485D7D">
            <w:pPr>
              <w:pStyle w:val="ListParagraph"/>
            </w:pPr>
          </w:p>
          <w:p w:rsidR="00485D7D" w:rsidRDefault="00485D7D" w:rsidP="006B1519">
            <w:pPr>
              <w:pStyle w:val="ListParagraph"/>
              <w:ind w:left="0"/>
            </w:pPr>
            <w:r>
              <w:t>The he</w:t>
            </w:r>
            <w:r w:rsidR="00921200">
              <w:t>aring was chaired by Ruth Wills, one of the Council’s Independent Persons. Ms Wills took no part in the Committee’s discussions or the decisions that it has reached</w:t>
            </w:r>
            <w:r w:rsidR="00DB6447">
              <w:t xml:space="preserve"> with regard to whether there had been a breach or breaches of the Code</w:t>
            </w:r>
            <w:r w:rsidR="006B1519">
              <w:t>.</w:t>
            </w:r>
            <w:r w:rsidR="00DB6447">
              <w:t xml:space="preserve"> </w:t>
            </w:r>
          </w:p>
        </w:tc>
      </w:tr>
      <w:tr w:rsidR="00834C7B" w:rsidTr="00B335F1">
        <w:tc>
          <w:tcPr>
            <w:tcW w:w="1133" w:type="dxa"/>
          </w:tcPr>
          <w:p w:rsidR="00834C7B" w:rsidRDefault="00834C7B" w:rsidP="00FC6366"/>
        </w:tc>
        <w:tc>
          <w:tcPr>
            <w:tcW w:w="7893" w:type="dxa"/>
          </w:tcPr>
          <w:p w:rsidR="00834C7B" w:rsidRDefault="00834C7B" w:rsidP="00834C7B">
            <w:pPr>
              <w:pStyle w:val="ListParagraph"/>
            </w:pPr>
          </w:p>
        </w:tc>
      </w:tr>
      <w:tr w:rsidR="00834C7B" w:rsidTr="00B335F1">
        <w:tc>
          <w:tcPr>
            <w:tcW w:w="1133" w:type="dxa"/>
          </w:tcPr>
          <w:p w:rsidR="00834C7B" w:rsidRDefault="006B1519" w:rsidP="00FC6366">
            <w:r>
              <w:t>3.2</w:t>
            </w:r>
          </w:p>
        </w:tc>
        <w:tc>
          <w:tcPr>
            <w:tcW w:w="7893" w:type="dxa"/>
          </w:tcPr>
          <w:p w:rsidR="00834C7B" w:rsidRDefault="00B335F1" w:rsidP="00921200">
            <w:pPr>
              <w:pStyle w:val="ListParagraph"/>
              <w:ind w:left="0"/>
            </w:pPr>
            <w:r>
              <w:t>Cllr Williams</w:t>
            </w:r>
            <w:r w:rsidR="00921200">
              <w:t xml:space="preserve"> </w:t>
            </w:r>
            <w:r w:rsidR="00921200" w:rsidRPr="00834C7B">
              <w:t>attended</w:t>
            </w:r>
            <w:r w:rsidR="00921200">
              <w:t xml:space="preserve"> the hearing. </w:t>
            </w:r>
          </w:p>
        </w:tc>
      </w:tr>
      <w:tr w:rsidR="00834C7B" w:rsidTr="00B335F1">
        <w:tc>
          <w:tcPr>
            <w:tcW w:w="1133" w:type="dxa"/>
          </w:tcPr>
          <w:p w:rsidR="00834C7B" w:rsidRDefault="00834C7B" w:rsidP="00FC6366">
            <w:pPr>
              <w:rPr>
                <w:b/>
              </w:rPr>
            </w:pPr>
          </w:p>
        </w:tc>
        <w:tc>
          <w:tcPr>
            <w:tcW w:w="7893" w:type="dxa"/>
          </w:tcPr>
          <w:p w:rsidR="00834C7B" w:rsidRPr="00231E6F" w:rsidRDefault="00834C7B" w:rsidP="00FC6366">
            <w:pPr>
              <w:rPr>
                <w:b/>
              </w:rPr>
            </w:pPr>
          </w:p>
        </w:tc>
      </w:tr>
      <w:tr w:rsidR="00834C7B" w:rsidTr="00B335F1">
        <w:tc>
          <w:tcPr>
            <w:tcW w:w="1133" w:type="dxa"/>
          </w:tcPr>
          <w:p w:rsidR="00834C7B" w:rsidRPr="00834C7B" w:rsidRDefault="006B1519" w:rsidP="00FC6366">
            <w:r>
              <w:t>3.3</w:t>
            </w:r>
          </w:p>
        </w:tc>
        <w:tc>
          <w:tcPr>
            <w:tcW w:w="7893" w:type="dxa"/>
          </w:tcPr>
          <w:p w:rsidR="00834C7B" w:rsidRPr="00834C7B" w:rsidRDefault="00B335F1" w:rsidP="00B335F1">
            <w:r>
              <w:t>Ms Julie Newman</w:t>
            </w:r>
            <w:r w:rsidR="002D3B5B">
              <w:t>, the</w:t>
            </w:r>
            <w:r>
              <w:t xml:space="preserve"> Monitoring Officer</w:t>
            </w:r>
            <w:r w:rsidR="00921200">
              <w:t xml:space="preserve"> attended the hearing</w:t>
            </w:r>
            <w:r>
              <w:t>, along with Mr Kinsey</w:t>
            </w:r>
            <w:r w:rsidR="00921200">
              <w:t>.</w:t>
            </w:r>
            <w:r>
              <w:t xml:space="preserve"> Ms Newman outlined her </w:t>
            </w:r>
            <w:r w:rsidR="00287F45">
              <w:t xml:space="preserve">investigation and </w:t>
            </w:r>
            <w:r>
              <w:t>her conclusions. Sh</w:t>
            </w:r>
            <w:r w:rsidR="00287F45">
              <w:t>e answered questions from both</w:t>
            </w:r>
            <w:r>
              <w:t xml:space="preserve"> the Committee and from Cllr Williams. Cllr Mutton was present and made a statement explaining his concerns about the tweet. </w:t>
            </w:r>
            <w:r w:rsidR="00287F45">
              <w:t xml:space="preserve"> </w:t>
            </w:r>
          </w:p>
        </w:tc>
      </w:tr>
      <w:tr w:rsidR="00287F45" w:rsidTr="00B335F1">
        <w:tc>
          <w:tcPr>
            <w:tcW w:w="1133" w:type="dxa"/>
          </w:tcPr>
          <w:p w:rsidR="00287F45" w:rsidRDefault="00287F45" w:rsidP="00FC6366"/>
        </w:tc>
        <w:tc>
          <w:tcPr>
            <w:tcW w:w="7893" w:type="dxa"/>
          </w:tcPr>
          <w:p w:rsidR="00287F45" w:rsidRDefault="00287F45" w:rsidP="000706B9"/>
        </w:tc>
      </w:tr>
      <w:tr w:rsidR="00287F45" w:rsidTr="00B335F1">
        <w:tc>
          <w:tcPr>
            <w:tcW w:w="1133" w:type="dxa"/>
          </w:tcPr>
          <w:p w:rsidR="00287F45" w:rsidRDefault="006B1519" w:rsidP="00FC6366">
            <w:r>
              <w:t>3.4</w:t>
            </w:r>
            <w:r w:rsidR="00287F45">
              <w:t xml:space="preserve"> </w:t>
            </w:r>
          </w:p>
        </w:tc>
        <w:tc>
          <w:tcPr>
            <w:tcW w:w="7893" w:type="dxa"/>
          </w:tcPr>
          <w:p w:rsidR="00287F45" w:rsidRDefault="00287F45" w:rsidP="00B335F1">
            <w:r>
              <w:t xml:space="preserve">Cllr </w:t>
            </w:r>
            <w:r w:rsidR="00B335F1">
              <w:t>Williams presented his case. He said that he accepted the transcript of the radio interview with Cllr Mutton but felt it was a pity that a recording was not available since he felt that it was the tone of way that Cllr Mutton talked about Band D property owners that was important. He had listened to the recording several times and this only strengthened</w:t>
            </w:r>
            <w:r w:rsidR="00D732BC">
              <w:t xml:space="preserve"> his view about what Cllr Mutton had said. He did not feel the need to apologise or to delete the tweet. Cllr Williams said that he respected that Cllr Mutton had deeply held principles and beliefs</w:t>
            </w:r>
            <w:r w:rsidR="001333E2">
              <w:t xml:space="preserve"> which were very different from his. He was always prepared to engage in political debate with others but he was entitled to his opinion and should not be silenced. He had been asked to delete tweets before and had done so but not on this occasion because he felt that Cllr Mutton had, in his interview, not been prepared to acknowledge that some people in Band D properties could be struggling financially. </w:t>
            </w:r>
          </w:p>
        </w:tc>
      </w:tr>
      <w:tr w:rsidR="00834C7B" w:rsidTr="00B335F1">
        <w:tc>
          <w:tcPr>
            <w:tcW w:w="1133" w:type="dxa"/>
          </w:tcPr>
          <w:p w:rsidR="00834C7B" w:rsidRPr="00834C7B" w:rsidRDefault="00834C7B" w:rsidP="00FC6366"/>
        </w:tc>
        <w:tc>
          <w:tcPr>
            <w:tcW w:w="7893" w:type="dxa"/>
          </w:tcPr>
          <w:p w:rsidR="00834C7B" w:rsidRDefault="00834C7B" w:rsidP="00FC6366"/>
          <w:p w:rsidR="00387D3A" w:rsidRPr="00834C7B" w:rsidRDefault="00387D3A" w:rsidP="00FC6366"/>
        </w:tc>
      </w:tr>
      <w:tr w:rsidR="00231E6F" w:rsidTr="00287F45">
        <w:tc>
          <w:tcPr>
            <w:tcW w:w="1133" w:type="dxa"/>
          </w:tcPr>
          <w:p w:rsidR="00231E6F" w:rsidRPr="00231E6F" w:rsidRDefault="00834C7B" w:rsidP="00FC6366">
            <w:pPr>
              <w:rPr>
                <w:b/>
              </w:rPr>
            </w:pPr>
            <w:r>
              <w:rPr>
                <w:b/>
              </w:rPr>
              <w:t>F</w:t>
            </w:r>
          </w:p>
        </w:tc>
        <w:tc>
          <w:tcPr>
            <w:tcW w:w="7893" w:type="dxa"/>
          </w:tcPr>
          <w:p w:rsidR="00231E6F" w:rsidRPr="002B75C1" w:rsidRDefault="00231E6F" w:rsidP="00FC6366">
            <w:pPr>
              <w:rPr>
                <w:b/>
              </w:rPr>
            </w:pPr>
            <w:r w:rsidRPr="00231E6F">
              <w:rPr>
                <w:b/>
              </w:rPr>
              <w:t>Consultation with Independent Person</w:t>
            </w:r>
          </w:p>
        </w:tc>
      </w:tr>
      <w:tr w:rsidR="002B75C1" w:rsidTr="00287F45">
        <w:tc>
          <w:tcPr>
            <w:tcW w:w="1133" w:type="dxa"/>
          </w:tcPr>
          <w:p w:rsidR="002B75C1" w:rsidRDefault="002B75C1" w:rsidP="00FC6366"/>
        </w:tc>
        <w:tc>
          <w:tcPr>
            <w:tcW w:w="7893" w:type="dxa"/>
          </w:tcPr>
          <w:p w:rsidR="002B75C1" w:rsidRDefault="002B75C1" w:rsidP="00FC6366"/>
        </w:tc>
      </w:tr>
      <w:tr w:rsidR="00231E6F" w:rsidTr="00287F45">
        <w:tc>
          <w:tcPr>
            <w:tcW w:w="1133" w:type="dxa"/>
          </w:tcPr>
          <w:p w:rsidR="00231E6F" w:rsidRDefault="002B75C1" w:rsidP="00FC6366">
            <w:r>
              <w:lastRenderedPageBreak/>
              <w:t>4</w:t>
            </w:r>
            <w:r w:rsidR="00231E6F">
              <w:t>.</w:t>
            </w:r>
            <w:r w:rsidR="006B1519">
              <w:t>1</w:t>
            </w:r>
          </w:p>
        </w:tc>
        <w:tc>
          <w:tcPr>
            <w:tcW w:w="7893" w:type="dxa"/>
          </w:tcPr>
          <w:p w:rsidR="00231E6F" w:rsidRDefault="008259DB" w:rsidP="001333E2">
            <w:r>
              <w:t xml:space="preserve">The Independent </w:t>
            </w:r>
            <w:r w:rsidR="001333E2">
              <w:t xml:space="preserve">Person, Ms Ann Barton was asked for her </w:t>
            </w:r>
            <w:r w:rsidR="006F5BA6">
              <w:t>opinion o</w:t>
            </w:r>
            <w:r w:rsidR="001333E2">
              <w:t>n the complaint</w:t>
            </w:r>
            <w:r w:rsidR="006F5BA6">
              <w:t xml:space="preserve">. </w:t>
            </w:r>
            <w:r w:rsidR="001333E2">
              <w:t xml:space="preserve">She referred the Committee to her written opinion at page 71 of the Committee papers.  </w:t>
            </w:r>
            <w:r w:rsidR="006F5BA6">
              <w:t xml:space="preserve">This can be summarised as follows: </w:t>
            </w:r>
          </w:p>
        </w:tc>
      </w:tr>
      <w:tr w:rsidR="00231E6F" w:rsidTr="00287F45">
        <w:tc>
          <w:tcPr>
            <w:tcW w:w="1133" w:type="dxa"/>
          </w:tcPr>
          <w:p w:rsidR="00231E6F" w:rsidRDefault="00231E6F" w:rsidP="00FC6366"/>
        </w:tc>
        <w:tc>
          <w:tcPr>
            <w:tcW w:w="7893" w:type="dxa"/>
          </w:tcPr>
          <w:p w:rsidR="00231E6F" w:rsidRDefault="00231E6F" w:rsidP="00FC6366"/>
        </w:tc>
      </w:tr>
      <w:tr w:rsidR="00231E6F" w:rsidTr="00287F45">
        <w:tc>
          <w:tcPr>
            <w:tcW w:w="1133" w:type="dxa"/>
          </w:tcPr>
          <w:p w:rsidR="00231E6F" w:rsidRDefault="002B75C1" w:rsidP="00FC6366">
            <w:r>
              <w:t>4</w:t>
            </w:r>
            <w:r w:rsidR="006B1519">
              <w:t>.2</w:t>
            </w:r>
          </w:p>
        </w:tc>
        <w:tc>
          <w:tcPr>
            <w:tcW w:w="7893" w:type="dxa"/>
          </w:tcPr>
          <w:p w:rsidR="000563A1" w:rsidRPr="000563A1" w:rsidRDefault="00DB6447" w:rsidP="001333E2">
            <w:r>
              <w:t xml:space="preserve">Ms Barton had not heard the radio interview because it was no longer available. </w:t>
            </w:r>
            <w:r w:rsidR="001333E2" w:rsidRPr="00DB6447">
              <w:t>The transcript of the radio interview did not indicate that Cllr Mutt</w:t>
            </w:r>
            <w:r w:rsidR="00E174F1" w:rsidRPr="00DB6447">
              <w:t xml:space="preserve">on had suggested that Band D property owners were wealthy, neither did he refer to any members of the community in terms of their “class”. In her view he had tried to give the facts and did not appear to her to have given any indication that he was “ignorant” of the facts. Ms Barton felt that an investigation would establish whether Cllr Williams had misrepresented what Cllr Mutton had said and what evidence he had to support his statement. She felt it would give an opportunity to establish whether Cllr Williams had established the facts about Cllr Mutton’s beliefs and values before deciding to tweet. Ms Barton also thought that an investigation would help to show whether Cllr Williams’ tweet was malicious in intent or was in fact justified. </w:t>
            </w:r>
          </w:p>
        </w:tc>
      </w:tr>
      <w:tr w:rsidR="006B1519" w:rsidTr="00287F45">
        <w:tc>
          <w:tcPr>
            <w:tcW w:w="1133" w:type="dxa"/>
          </w:tcPr>
          <w:p w:rsidR="006B1519" w:rsidRDefault="006B1519" w:rsidP="00FC6366"/>
        </w:tc>
        <w:tc>
          <w:tcPr>
            <w:tcW w:w="7893" w:type="dxa"/>
          </w:tcPr>
          <w:p w:rsidR="006B1519" w:rsidRDefault="006B1519" w:rsidP="001333E2"/>
        </w:tc>
      </w:tr>
      <w:tr w:rsidR="006B1519" w:rsidTr="00287F45">
        <w:tc>
          <w:tcPr>
            <w:tcW w:w="1133" w:type="dxa"/>
          </w:tcPr>
          <w:p w:rsidR="006B1519" w:rsidRDefault="006B1519" w:rsidP="00FC6366">
            <w:r>
              <w:t>4.3</w:t>
            </w:r>
          </w:p>
        </w:tc>
        <w:tc>
          <w:tcPr>
            <w:tcW w:w="7893" w:type="dxa"/>
          </w:tcPr>
          <w:p w:rsidR="006B1519" w:rsidRDefault="006B1519" w:rsidP="001333E2">
            <w:r>
              <w:t>In addition Ms Barton stressed that she felt that it was the content of Cllr Williams’ tweet that should be considered in connection with the hearing and not the transcript of Cllr Mutton’s interview.</w:t>
            </w:r>
          </w:p>
        </w:tc>
      </w:tr>
      <w:tr w:rsidR="00231E6F" w:rsidTr="00287F45">
        <w:tc>
          <w:tcPr>
            <w:tcW w:w="1133" w:type="dxa"/>
          </w:tcPr>
          <w:p w:rsidR="00231E6F" w:rsidRDefault="00231E6F" w:rsidP="00FC6366"/>
        </w:tc>
        <w:tc>
          <w:tcPr>
            <w:tcW w:w="7893" w:type="dxa"/>
          </w:tcPr>
          <w:p w:rsidR="00231E6F" w:rsidRDefault="00231E6F" w:rsidP="00FC6366"/>
          <w:p w:rsidR="00467310" w:rsidRDefault="00467310" w:rsidP="00FC6366"/>
        </w:tc>
      </w:tr>
      <w:tr w:rsidR="00231E6F" w:rsidTr="00287F45">
        <w:tc>
          <w:tcPr>
            <w:tcW w:w="1133" w:type="dxa"/>
          </w:tcPr>
          <w:p w:rsidR="00231E6F" w:rsidRPr="00DE4F73" w:rsidRDefault="00DE4F73" w:rsidP="00FC6366">
            <w:pPr>
              <w:rPr>
                <w:b/>
              </w:rPr>
            </w:pPr>
            <w:r w:rsidRPr="00DE4F73">
              <w:rPr>
                <w:b/>
              </w:rPr>
              <w:t>F</w:t>
            </w:r>
          </w:p>
        </w:tc>
        <w:tc>
          <w:tcPr>
            <w:tcW w:w="7893" w:type="dxa"/>
          </w:tcPr>
          <w:p w:rsidR="00231E6F" w:rsidRPr="00DE4F73" w:rsidRDefault="00DE4F73" w:rsidP="00FC6366">
            <w:pPr>
              <w:rPr>
                <w:b/>
              </w:rPr>
            </w:pPr>
            <w:r w:rsidRPr="00FC6366">
              <w:rPr>
                <w:b/>
              </w:rPr>
              <w:t>Findings</w:t>
            </w:r>
          </w:p>
        </w:tc>
      </w:tr>
      <w:tr w:rsidR="00231E6F" w:rsidTr="00287F45">
        <w:tc>
          <w:tcPr>
            <w:tcW w:w="1133" w:type="dxa"/>
          </w:tcPr>
          <w:p w:rsidR="00231E6F" w:rsidRDefault="00231E6F" w:rsidP="00FC6366"/>
        </w:tc>
        <w:tc>
          <w:tcPr>
            <w:tcW w:w="7893" w:type="dxa"/>
          </w:tcPr>
          <w:p w:rsidR="00231E6F" w:rsidRDefault="00231E6F" w:rsidP="00FC6366"/>
        </w:tc>
      </w:tr>
      <w:tr w:rsidR="00231E6F" w:rsidTr="00287F45">
        <w:tc>
          <w:tcPr>
            <w:tcW w:w="1133" w:type="dxa"/>
          </w:tcPr>
          <w:p w:rsidR="00231E6F" w:rsidRDefault="00387D3A" w:rsidP="00FC6366">
            <w:r>
              <w:t>5</w:t>
            </w:r>
            <w:r w:rsidR="002B75C1">
              <w:t>.</w:t>
            </w:r>
            <w:r w:rsidR="006B1519">
              <w:t>1</w:t>
            </w:r>
          </w:p>
        </w:tc>
        <w:tc>
          <w:tcPr>
            <w:tcW w:w="7893" w:type="dxa"/>
          </w:tcPr>
          <w:p w:rsidR="00231E6F" w:rsidRDefault="00DE4F73" w:rsidP="005A5AEE">
            <w:r>
              <w:t>After considering the submissions of the parties to the hearing and the views of the Independent Person, the Committee reached the following decision(s):</w:t>
            </w:r>
          </w:p>
        </w:tc>
      </w:tr>
      <w:tr w:rsidR="005A5AEE" w:rsidTr="00287F45">
        <w:tc>
          <w:tcPr>
            <w:tcW w:w="1133" w:type="dxa"/>
          </w:tcPr>
          <w:p w:rsidR="005A5AEE" w:rsidRDefault="005A5AEE" w:rsidP="00FC6366"/>
        </w:tc>
        <w:tc>
          <w:tcPr>
            <w:tcW w:w="7893" w:type="dxa"/>
          </w:tcPr>
          <w:p w:rsidR="005A5AEE" w:rsidRDefault="005A5AEE" w:rsidP="005A5AEE"/>
        </w:tc>
      </w:tr>
      <w:tr w:rsidR="00262DF5" w:rsidTr="00287F45">
        <w:tc>
          <w:tcPr>
            <w:tcW w:w="1133" w:type="dxa"/>
          </w:tcPr>
          <w:p w:rsidR="00262DF5" w:rsidRDefault="006B1519" w:rsidP="00FC6366">
            <w:r>
              <w:t>5.2</w:t>
            </w:r>
          </w:p>
        </w:tc>
        <w:tc>
          <w:tcPr>
            <w:tcW w:w="7893" w:type="dxa"/>
          </w:tcPr>
          <w:p w:rsidR="00262DF5" w:rsidRDefault="00262DF5" w:rsidP="005A5AEE">
            <w:r w:rsidRPr="00242500">
              <w:rPr>
                <w:b/>
                <w:i/>
              </w:rPr>
              <w:t>On the question of whether</w:t>
            </w:r>
            <w:r w:rsidR="008F0FBA">
              <w:rPr>
                <w:b/>
                <w:i/>
              </w:rPr>
              <w:t xml:space="preserve">  Cllr Williams had breached  Paragraphs  3(</w:t>
            </w:r>
            <w:proofErr w:type="spellStart"/>
            <w:r w:rsidR="008F0FBA">
              <w:rPr>
                <w:b/>
                <w:i/>
              </w:rPr>
              <w:t>i</w:t>
            </w:r>
            <w:proofErr w:type="spellEnd"/>
            <w:r>
              <w:rPr>
                <w:b/>
                <w:i/>
              </w:rPr>
              <w:t xml:space="preserve">) </w:t>
            </w:r>
            <w:r w:rsidR="008F0FBA">
              <w:rPr>
                <w:b/>
                <w:i/>
              </w:rPr>
              <w:t xml:space="preserve">and 3(j) </w:t>
            </w:r>
            <w:r>
              <w:rPr>
                <w:b/>
                <w:i/>
              </w:rPr>
              <w:t>of the Code of Conduct</w:t>
            </w:r>
            <w:r w:rsidRPr="00242500">
              <w:rPr>
                <w:b/>
                <w:i/>
              </w:rPr>
              <w:t>:</w:t>
            </w:r>
          </w:p>
        </w:tc>
      </w:tr>
      <w:tr w:rsidR="00262DF5" w:rsidTr="00287F45">
        <w:tc>
          <w:tcPr>
            <w:tcW w:w="1133" w:type="dxa"/>
          </w:tcPr>
          <w:p w:rsidR="00262DF5" w:rsidRDefault="00262DF5" w:rsidP="00FC6366"/>
        </w:tc>
        <w:tc>
          <w:tcPr>
            <w:tcW w:w="7893" w:type="dxa"/>
          </w:tcPr>
          <w:p w:rsidR="00262DF5" w:rsidRDefault="00262DF5" w:rsidP="005A5AEE"/>
        </w:tc>
      </w:tr>
      <w:tr w:rsidR="00262DF5" w:rsidTr="00287F45">
        <w:tc>
          <w:tcPr>
            <w:tcW w:w="1133" w:type="dxa"/>
          </w:tcPr>
          <w:p w:rsidR="00262DF5" w:rsidRDefault="00262DF5" w:rsidP="00FC6366"/>
        </w:tc>
        <w:tc>
          <w:tcPr>
            <w:tcW w:w="7893" w:type="dxa"/>
          </w:tcPr>
          <w:p w:rsidR="00262DF5" w:rsidRPr="0019476B" w:rsidRDefault="00262DF5" w:rsidP="0019476B">
            <w:pPr>
              <w:rPr>
                <w:i/>
              </w:rPr>
            </w:pPr>
            <w:r>
              <w:t>T</w:t>
            </w:r>
            <w:r w:rsidR="008F0FBA">
              <w:t xml:space="preserve">he Committee found that Cllr Williams </w:t>
            </w:r>
            <w:r>
              <w:t>had not breached the requirement</w:t>
            </w:r>
            <w:r w:rsidR="0019476B">
              <w:t>s</w:t>
            </w:r>
            <w:r>
              <w:t xml:space="preserve"> in Paragraph</w:t>
            </w:r>
            <w:r w:rsidR="008F0FBA">
              <w:t>s 3(</w:t>
            </w:r>
            <w:proofErr w:type="spellStart"/>
            <w:r w:rsidR="008F0FBA">
              <w:t>i</w:t>
            </w:r>
            <w:proofErr w:type="spellEnd"/>
            <w:r>
              <w:t xml:space="preserve">) </w:t>
            </w:r>
            <w:r w:rsidR="008F0FBA">
              <w:t xml:space="preserve">and 3(j) </w:t>
            </w:r>
            <w:r w:rsidR="0019476B">
              <w:t xml:space="preserve">to </w:t>
            </w:r>
            <w:r w:rsidR="0019476B" w:rsidRPr="0019476B">
              <w:t>value colleagues and staff and engage with them in an appropriate manner and to always treat people with respect.</w:t>
            </w:r>
          </w:p>
        </w:tc>
      </w:tr>
      <w:tr w:rsidR="006A6E53" w:rsidTr="00287F45">
        <w:tc>
          <w:tcPr>
            <w:tcW w:w="1133" w:type="dxa"/>
          </w:tcPr>
          <w:p w:rsidR="006A6E53" w:rsidRDefault="006A6E53" w:rsidP="00FC6366"/>
        </w:tc>
        <w:tc>
          <w:tcPr>
            <w:tcW w:w="7893" w:type="dxa"/>
          </w:tcPr>
          <w:p w:rsidR="006A6E53" w:rsidRDefault="006A6E53" w:rsidP="006A6E53">
            <w:pPr>
              <w:rPr>
                <w:i/>
              </w:rPr>
            </w:pPr>
          </w:p>
          <w:p w:rsidR="00467310" w:rsidRPr="006A6E53" w:rsidRDefault="00467310" w:rsidP="006A6E53">
            <w:pPr>
              <w:rPr>
                <w:i/>
              </w:rPr>
            </w:pPr>
          </w:p>
        </w:tc>
      </w:tr>
      <w:tr w:rsidR="00231E6F" w:rsidTr="00287F45">
        <w:tc>
          <w:tcPr>
            <w:tcW w:w="1133" w:type="dxa"/>
          </w:tcPr>
          <w:p w:rsidR="00231E6F" w:rsidRPr="00DE4F73" w:rsidRDefault="00DE4F73" w:rsidP="00FC6366">
            <w:pPr>
              <w:rPr>
                <w:b/>
              </w:rPr>
            </w:pPr>
            <w:r w:rsidRPr="00DE4F73">
              <w:rPr>
                <w:b/>
              </w:rPr>
              <w:t>G</w:t>
            </w:r>
          </w:p>
        </w:tc>
        <w:tc>
          <w:tcPr>
            <w:tcW w:w="7893" w:type="dxa"/>
          </w:tcPr>
          <w:p w:rsidR="00231E6F" w:rsidRPr="00DE4F73" w:rsidRDefault="00DE4F73" w:rsidP="00FC6366">
            <w:pPr>
              <w:rPr>
                <w:b/>
              </w:rPr>
            </w:pPr>
            <w:r w:rsidRPr="000A3A06">
              <w:rPr>
                <w:b/>
              </w:rPr>
              <w:t>Reasons</w:t>
            </w:r>
          </w:p>
        </w:tc>
      </w:tr>
      <w:tr w:rsidR="00231E6F" w:rsidTr="00287F45">
        <w:tc>
          <w:tcPr>
            <w:tcW w:w="1133" w:type="dxa"/>
          </w:tcPr>
          <w:p w:rsidR="00231E6F" w:rsidRDefault="00231E6F" w:rsidP="00FC6366"/>
        </w:tc>
        <w:tc>
          <w:tcPr>
            <w:tcW w:w="7893" w:type="dxa"/>
          </w:tcPr>
          <w:p w:rsidR="00231E6F" w:rsidRDefault="00231E6F" w:rsidP="00FC6366"/>
        </w:tc>
      </w:tr>
      <w:tr w:rsidR="00231E6F" w:rsidTr="00287F45">
        <w:tc>
          <w:tcPr>
            <w:tcW w:w="1133" w:type="dxa"/>
          </w:tcPr>
          <w:p w:rsidR="00231E6F" w:rsidRDefault="00387D3A" w:rsidP="00FC6366">
            <w:r>
              <w:t>6</w:t>
            </w:r>
            <w:r w:rsidR="006A6E53">
              <w:t>.</w:t>
            </w:r>
            <w:r w:rsidR="006B1519">
              <w:t>1</w:t>
            </w:r>
          </w:p>
        </w:tc>
        <w:tc>
          <w:tcPr>
            <w:tcW w:w="7893" w:type="dxa"/>
          </w:tcPr>
          <w:p w:rsidR="00231E6F" w:rsidRPr="00B7552D" w:rsidRDefault="00DE4F73" w:rsidP="00FC6366">
            <w:pPr>
              <w:rPr>
                <w:b/>
              </w:rPr>
            </w:pPr>
            <w:r w:rsidRPr="00B7552D">
              <w:rPr>
                <w:b/>
              </w:rPr>
              <w:t>The Committee’s reasons for reaching its decision are as follows:</w:t>
            </w:r>
          </w:p>
        </w:tc>
      </w:tr>
      <w:tr w:rsidR="00231E6F" w:rsidTr="00287F45">
        <w:tc>
          <w:tcPr>
            <w:tcW w:w="1133" w:type="dxa"/>
          </w:tcPr>
          <w:p w:rsidR="00231E6F" w:rsidRDefault="00231E6F" w:rsidP="00FC6366"/>
        </w:tc>
        <w:tc>
          <w:tcPr>
            <w:tcW w:w="7893" w:type="dxa"/>
          </w:tcPr>
          <w:p w:rsidR="00231E6F" w:rsidRDefault="00231E6F" w:rsidP="00FC6366"/>
        </w:tc>
      </w:tr>
      <w:tr w:rsidR="00231E6F" w:rsidTr="00287F45">
        <w:tc>
          <w:tcPr>
            <w:tcW w:w="1133" w:type="dxa"/>
          </w:tcPr>
          <w:p w:rsidR="00231E6F" w:rsidRDefault="00387D3A" w:rsidP="00FC6366">
            <w:r>
              <w:t>6</w:t>
            </w:r>
            <w:r w:rsidR="006B1519">
              <w:t>.2</w:t>
            </w:r>
          </w:p>
        </w:tc>
        <w:tc>
          <w:tcPr>
            <w:tcW w:w="7893" w:type="dxa"/>
          </w:tcPr>
          <w:p w:rsidR="00231E6F" w:rsidRDefault="00C239C8" w:rsidP="0019476B">
            <w:r>
              <w:t xml:space="preserve">The Committee </w:t>
            </w:r>
            <w:r w:rsidR="0019476B">
              <w:t xml:space="preserve">considered that Cllr Williams’ remarks in his tweet were ill-considered and inappropriate. However, given that this was a “political” observation from one elected member about another, it considered that the remarks did not meet the threshold for this to be considered a breach of the Code of Conduct, such threshold being higher for political speech than it is for others. </w:t>
            </w:r>
          </w:p>
        </w:tc>
      </w:tr>
      <w:tr w:rsidR="00231E6F" w:rsidTr="00287F45">
        <w:tc>
          <w:tcPr>
            <w:tcW w:w="1133" w:type="dxa"/>
          </w:tcPr>
          <w:p w:rsidR="00231E6F" w:rsidRDefault="00231E6F" w:rsidP="00FC6366"/>
        </w:tc>
        <w:tc>
          <w:tcPr>
            <w:tcW w:w="7893" w:type="dxa"/>
          </w:tcPr>
          <w:p w:rsidR="00231E6F" w:rsidRDefault="00231E6F" w:rsidP="00FC6366"/>
        </w:tc>
      </w:tr>
      <w:tr w:rsidR="0019476B" w:rsidTr="00287F45">
        <w:tc>
          <w:tcPr>
            <w:tcW w:w="1133" w:type="dxa"/>
          </w:tcPr>
          <w:p w:rsidR="0019476B" w:rsidRDefault="006B1519" w:rsidP="00FC6366">
            <w:r>
              <w:lastRenderedPageBreak/>
              <w:t>6.3</w:t>
            </w:r>
          </w:p>
        </w:tc>
        <w:tc>
          <w:tcPr>
            <w:tcW w:w="7893" w:type="dxa"/>
          </w:tcPr>
          <w:p w:rsidR="0019476B" w:rsidRDefault="0019476B" w:rsidP="00FC6366">
            <w:r w:rsidRPr="0019476B">
              <w:rPr>
                <w:b/>
              </w:rPr>
              <w:t>Nevertheless, the Committee recommends</w:t>
            </w:r>
            <w:r>
              <w:t xml:space="preserve"> that as this is not the first time that Cllr Williams has been asked to delete his tweets:</w:t>
            </w:r>
          </w:p>
          <w:p w:rsidR="0019476B" w:rsidRDefault="0019476B" w:rsidP="0019476B">
            <w:pPr>
              <w:pStyle w:val="ListParagraph"/>
              <w:numPr>
                <w:ilvl w:val="0"/>
                <w:numId w:val="16"/>
              </w:numPr>
            </w:pPr>
            <w:r>
              <w:t xml:space="preserve">he should undertake social media training at the earliest opportunity; and </w:t>
            </w:r>
          </w:p>
          <w:p w:rsidR="0019476B" w:rsidRDefault="0019476B" w:rsidP="0019476B">
            <w:pPr>
              <w:pStyle w:val="ListParagraph"/>
              <w:numPr>
                <w:ilvl w:val="0"/>
                <w:numId w:val="16"/>
              </w:numPr>
            </w:pPr>
            <w:r>
              <w:t xml:space="preserve">The Monitoring Officer be asked to report back to the Committee on completion of the training.  </w:t>
            </w:r>
          </w:p>
        </w:tc>
      </w:tr>
      <w:tr w:rsidR="00231E6F" w:rsidTr="00093CFE">
        <w:tc>
          <w:tcPr>
            <w:tcW w:w="1133" w:type="dxa"/>
          </w:tcPr>
          <w:p w:rsidR="00231E6F" w:rsidRDefault="00231E6F" w:rsidP="00FC6366"/>
        </w:tc>
        <w:tc>
          <w:tcPr>
            <w:tcW w:w="7893" w:type="dxa"/>
          </w:tcPr>
          <w:p w:rsidR="00231E6F" w:rsidRDefault="00231E6F" w:rsidP="00FC6366"/>
          <w:p w:rsidR="00467310" w:rsidRDefault="00467310" w:rsidP="00FC6366"/>
        </w:tc>
      </w:tr>
      <w:tr w:rsidR="00231E6F" w:rsidTr="00093CFE">
        <w:tc>
          <w:tcPr>
            <w:tcW w:w="1133" w:type="dxa"/>
          </w:tcPr>
          <w:p w:rsidR="00231E6F" w:rsidRPr="00DE4F73" w:rsidRDefault="00852A74" w:rsidP="00FC6366">
            <w:pPr>
              <w:rPr>
                <w:b/>
              </w:rPr>
            </w:pPr>
            <w:r>
              <w:rPr>
                <w:b/>
              </w:rPr>
              <w:t>H</w:t>
            </w:r>
          </w:p>
        </w:tc>
        <w:tc>
          <w:tcPr>
            <w:tcW w:w="7893" w:type="dxa"/>
          </w:tcPr>
          <w:p w:rsidR="00231E6F" w:rsidRPr="00DE4F73" w:rsidRDefault="00DE4F73" w:rsidP="00FC6366">
            <w:pPr>
              <w:rPr>
                <w:b/>
              </w:rPr>
            </w:pPr>
            <w:r w:rsidRPr="00FC6366">
              <w:rPr>
                <w:b/>
              </w:rPr>
              <w:t>Appeal</w:t>
            </w:r>
          </w:p>
        </w:tc>
      </w:tr>
      <w:tr w:rsidR="00231E6F" w:rsidTr="00093CFE">
        <w:tc>
          <w:tcPr>
            <w:tcW w:w="1133" w:type="dxa"/>
          </w:tcPr>
          <w:p w:rsidR="00231E6F" w:rsidRDefault="00231E6F" w:rsidP="00FC6366"/>
        </w:tc>
        <w:tc>
          <w:tcPr>
            <w:tcW w:w="7893" w:type="dxa"/>
          </w:tcPr>
          <w:p w:rsidR="00231E6F" w:rsidRDefault="00231E6F" w:rsidP="00FC6366"/>
        </w:tc>
      </w:tr>
      <w:tr w:rsidR="00231E6F" w:rsidTr="00093CFE">
        <w:tc>
          <w:tcPr>
            <w:tcW w:w="1133" w:type="dxa"/>
          </w:tcPr>
          <w:p w:rsidR="00231E6F" w:rsidRDefault="006B1519" w:rsidP="00FC6366">
            <w:r>
              <w:t>7.</w:t>
            </w:r>
          </w:p>
        </w:tc>
        <w:tc>
          <w:tcPr>
            <w:tcW w:w="7893" w:type="dxa"/>
          </w:tcPr>
          <w:p w:rsidR="00231E6F" w:rsidRDefault="00DE4F73" w:rsidP="00FC6366">
            <w:r>
              <w:t>There is no right of appeal against the Committee’s decision.</w:t>
            </w:r>
          </w:p>
        </w:tc>
      </w:tr>
      <w:tr w:rsidR="00231E6F" w:rsidTr="00093CFE">
        <w:tc>
          <w:tcPr>
            <w:tcW w:w="1133" w:type="dxa"/>
          </w:tcPr>
          <w:p w:rsidR="00231E6F" w:rsidRDefault="00231E6F" w:rsidP="00FC6366"/>
        </w:tc>
        <w:tc>
          <w:tcPr>
            <w:tcW w:w="7893" w:type="dxa"/>
          </w:tcPr>
          <w:p w:rsidR="00231E6F" w:rsidRDefault="00231E6F" w:rsidP="00FC6366"/>
          <w:p w:rsidR="00467310" w:rsidRDefault="00467310" w:rsidP="00FC6366"/>
        </w:tc>
      </w:tr>
      <w:tr w:rsidR="00231E6F" w:rsidTr="00093CFE">
        <w:tc>
          <w:tcPr>
            <w:tcW w:w="1133" w:type="dxa"/>
          </w:tcPr>
          <w:p w:rsidR="00231E6F" w:rsidRPr="00DE4F73" w:rsidRDefault="00852A74" w:rsidP="00FC6366">
            <w:pPr>
              <w:rPr>
                <w:b/>
              </w:rPr>
            </w:pPr>
            <w:r>
              <w:rPr>
                <w:b/>
              </w:rPr>
              <w:t>I</w:t>
            </w:r>
          </w:p>
        </w:tc>
        <w:tc>
          <w:tcPr>
            <w:tcW w:w="7893" w:type="dxa"/>
          </w:tcPr>
          <w:p w:rsidR="00231E6F" w:rsidRDefault="00DE4F73" w:rsidP="00FC6366">
            <w:r w:rsidRPr="00FC6366">
              <w:rPr>
                <w:b/>
              </w:rPr>
              <w:t>Notification of decision</w:t>
            </w:r>
          </w:p>
        </w:tc>
      </w:tr>
      <w:tr w:rsidR="00231E6F" w:rsidTr="00093CFE">
        <w:tc>
          <w:tcPr>
            <w:tcW w:w="1133" w:type="dxa"/>
          </w:tcPr>
          <w:p w:rsidR="00231E6F" w:rsidRDefault="00231E6F" w:rsidP="00FC6366"/>
        </w:tc>
        <w:tc>
          <w:tcPr>
            <w:tcW w:w="7893" w:type="dxa"/>
          </w:tcPr>
          <w:p w:rsidR="00231E6F" w:rsidRDefault="00231E6F" w:rsidP="00FC6366"/>
        </w:tc>
      </w:tr>
      <w:tr w:rsidR="00231E6F" w:rsidTr="00093CFE">
        <w:tc>
          <w:tcPr>
            <w:tcW w:w="1133" w:type="dxa"/>
          </w:tcPr>
          <w:p w:rsidR="00231E6F" w:rsidRDefault="006B1519" w:rsidP="00FC6366">
            <w:r>
              <w:t>8.</w:t>
            </w:r>
          </w:p>
        </w:tc>
        <w:tc>
          <w:tcPr>
            <w:tcW w:w="7893" w:type="dxa"/>
          </w:tcPr>
          <w:p w:rsidR="00DE4F73" w:rsidRDefault="00DE4F73" w:rsidP="00DE4F73">
            <w:r>
              <w:t>This decision notice is sent to:</w:t>
            </w:r>
          </w:p>
          <w:p w:rsidR="00387D3A" w:rsidRDefault="0019476B" w:rsidP="00DB6447">
            <w:pPr>
              <w:pStyle w:val="ListParagraph"/>
              <w:numPr>
                <w:ilvl w:val="0"/>
                <w:numId w:val="17"/>
              </w:numPr>
            </w:pPr>
            <w:r>
              <w:t>Councillor John Mutton</w:t>
            </w:r>
          </w:p>
          <w:p w:rsidR="00DB6447" w:rsidRDefault="00DB6447" w:rsidP="00DB6447">
            <w:pPr>
              <w:pStyle w:val="ListParagraph"/>
            </w:pPr>
          </w:p>
          <w:p w:rsidR="00852A74" w:rsidRDefault="0019476B" w:rsidP="00DB6447">
            <w:pPr>
              <w:pStyle w:val="ListParagraph"/>
              <w:numPr>
                <w:ilvl w:val="0"/>
                <w:numId w:val="17"/>
              </w:numPr>
            </w:pPr>
            <w:r>
              <w:t>Councillor Glenn Williams</w:t>
            </w:r>
          </w:p>
          <w:p w:rsidR="00DB6447" w:rsidRDefault="00DB6447" w:rsidP="00DB6447"/>
          <w:p w:rsidR="00940551" w:rsidRDefault="00852A74" w:rsidP="00DB6447">
            <w:pPr>
              <w:pStyle w:val="ListParagraph"/>
              <w:numPr>
                <w:ilvl w:val="0"/>
                <w:numId w:val="17"/>
              </w:numPr>
            </w:pPr>
            <w:r>
              <w:t xml:space="preserve">Ms Julie Newman and Mr Andrew Kinsey and </w:t>
            </w:r>
            <w:r w:rsidR="0019476B">
              <w:t xml:space="preserve"> </w:t>
            </w:r>
          </w:p>
          <w:p w:rsidR="00DB6447" w:rsidRDefault="00DB6447" w:rsidP="00DB6447"/>
          <w:p w:rsidR="00231E6F" w:rsidRDefault="00852A74" w:rsidP="00DB6447">
            <w:pPr>
              <w:pStyle w:val="ListParagraph"/>
              <w:numPr>
                <w:ilvl w:val="0"/>
                <w:numId w:val="17"/>
              </w:numPr>
            </w:pPr>
            <w:r>
              <w:t xml:space="preserve">Ms Ann Barton </w:t>
            </w:r>
          </w:p>
        </w:tc>
      </w:tr>
      <w:tr w:rsidR="00852A74" w:rsidTr="00093CFE">
        <w:tc>
          <w:tcPr>
            <w:tcW w:w="1133" w:type="dxa"/>
          </w:tcPr>
          <w:p w:rsidR="00852A74" w:rsidRDefault="00852A74" w:rsidP="00FC6366"/>
        </w:tc>
        <w:tc>
          <w:tcPr>
            <w:tcW w:w="7893" w:type="dxa"/>
          </w:tcPr>
          <w:p w:rsidR="00852A74" w:rsidRDefault="00852A74" w:rsidP="00DE4F73"/>
        </w:tc>
      </w:tr>
      <w:tr w:rsidR="00231E6F" w:rsidTr="00093CFE">
        <w:tc>
          <w:tcPr>
            <w:tcW w:w="1133" w:type="dxa"/>
          </w:tcPr>
          <w:p w:rsidR="00231E6F" w:rsidRDefault="00231E6F" w:rsidP="00FC6366"/>
        </w:tc>
        <w:tc>
          <w:tcPr>
            <w:tcW w:w="7893" w:type="dxa"/>
          </w:tcPr>
          <w:p w:rsidR="00231E6F" w:rsidRDefault="00DE4F73" w:rsidP="00FC6366">
            <w:r>
              <w:t xml:space="preserve">The decision will also be published on the Council’s website. </w:t>
            </w:r>
          </w:p>
        </w:tc>
      </w:tr>
      <w:tr w:rsidR="00231E6F" w:rsidTr="00093CFE">
        <w:tc>
          <w:tcPr>
            <w:tcW w:w="1133" w:type="dxa"/>
          </w:tcPr>
          <w:p w:rsidR="00231E6F" w:rsidRDefault="00231E6F" w:rsidP="00FC6366"/>
        </w:tc>
        <w:tc>
          <w:tcPr>
            <w:tcW w:w="7893" w:type="dxa"/>
          </w:tcPr>
          <w:p w:rsidR="00231E6F" w:rsidRDefault="00231E6F" w:rsidP="00FC6366"/>
        </w:tc>
      </w:tr>
      <w:tr w:rsidR="00231E6F" w:rsidTr="00093CFE">
        <w:tc>
          <w:tcPr>
            <w:tcW w:w="1133" w:type="dxa"/>
          </w:tcPr>
          <w:p w:rsidR="00231E6F" w:rsidRPr="00DE4F73" w:rsidRDefault="00852A74" w:rsidP="00FC6366">
            <w:pPr>
              <w:rPr>
                <w:b/>
              </w:rPr>
            </w:pPr>
            <w:r>
              <w:rPr>
                <w:b/>
              </w:rPr>
              <w:t>J</w:t>
            </w:r>
          </w:p>
        </w:tc>
        <w:tc>
          <w:tcPr>
            <w:tcW w:w="7893" w:type="dxa"/>
          </w:tcPr>
          <w:p w:rsidR="00231E6F" w:rsidRPr="00DE4F73" w:rsidRDefault="00DE4F73" w:rsidP="00FC6366">
            <w:pPr>
              <w:rPr>
                <w:b/>
              </w:rPr>
            </w:pPr>
            <w:r w:rsidRPr="00FC6366">
              <w:rPr>
                <w:b/>
              </w:rPr>
              <w:t>Additional help</w:t>
            </w:r>
          </w:p>
        </w:tc>
      </w:tr>
      <w:tr w:rsidR="00231E6F" w:rsidTr="00093CFE">
        <w:tc>
          <w:tcPr>
            <w:tcW w:w="1133" w:type="dxa"/>
          </w:tcPr>
          <w:p w:rsidR="00231E6F" w:rsidRDefault="00231E6F" w:rsidP="00FC6366"/>
        </w:tc>
        <w:tc>
          <w:tcPr>
            <w:tcW w:w="7893" w:type="dxa"/>
          </w:tcPr>
          <w:p w:rsidR="00231E6F" w:rsidRDefault="00231E6F" w:rsidP="00FC6366"/>
        </w:tc>
      </w:tr>
      <w:tr w:rsidR="00231E6F" w:rsidTr="00093CFE">
        <w:tc>
          <w:tcPr>
            <w:tcW w:w="1133" w:type="dxa"/>
          </w:tcPr>
          <w:p w:rsidR="00231E6F" w:rsidRDefault="006B1519" w:rsidP="00FC6366">
            <w:r>
              <w:t>9.</w:t>
            </w:r>
          </w:p>
        </w:tc>
        <w:tc>
          <w:tcPr>
            <w:tcW w:w="7893" w:type="dxa"/>
          </w:tcPr>
          <w:p w:rsidR="00231E6F" w:rsidRDefault="00DE4F73" w:rsidP="00FC6366">
            <w:r>
              <w:t xml:space="preserve">If you need additional support in relation to this decision notice or future contact with the City Council, please let us know as soon as possible. If you have difficulty reading this notice, we can make reasonable adjustments to assist you, in line with the requirements of the Equality Act 2010. We can also help if English is not your first language. </w:t>
            </w:r>
          </w:p>
        </w:tc>
      </w:tr>
      <w:tr w:rsidR="00231E6F" w:rsidTr="00093CFE">
        <w:tc>
          <w:tcPr>
            <w:tcW w:w="1133" w:type="dxa"/>
          </w:tcPr>
          <w:p w:rsidR="00231E6F" w:rsidRDefault="00231E6F" w:rsidP="00FC6366"/>
        </w:tc>
        <w:tc>
          <w:tcPr>
            <w:tcW w:w="7893" w:type="dxa"/>
          </w:tcPr>
          <w:p w:rsidR="00231E6F" w:rsidRDefault="00231E6F" w:rsidP="00FC6366"/>
          <w:p w:rsidR="00467310" w:rsidRDefault="00467310" w:rsidP="00FC6366"/>
          <w:p w:rsidR="00467310" w:rsidRDefault="00467310" w:rsidP="00FC6366"/>
          <w:p w:rsidR="00467310" w:rsidRDefault="00467310" w:rsidP="00FC6366"/>
        </w:tc>
      </w:tr>
      <w:tr w:rsidR="00231E6F" w:rsidTr="00093CFE">
        <w:tc>
          <w:tcPr>
            <w:tcW w:w="1133" w:type="dxa"/>
          </w:tcPr>
          <w:p w:rsidR="00231E6F" w:rsidRDefault="00231E6F" w:rsidP="00FC6366"/>
        </w:tc>
        <w:tc>
          <w:tcPr>
            <w:tcW w:w="7893" w:type="dxa"/>
          </w:tcPr>
          <w:p w:rsidR="00231E6F" w:rsidRDefault="00387C8E" w:rsidP="00FC6366">
            <w:r>
              <w:rPr>
                <w:b/>
              </w:rPr>
              <w:t>Ethics Committee</w:t>
            </w:r>
          </w:p>
        </w:tc>
      </w:tr>
      <w:tr w:rsidR="00231E6F" w:rsidTr="00093CFE">
        <w:tc>
          <w:tcPr>
            <w:tcW w:w="1133" w:type="dxa"/>
          </w:tcPr>
          <w:p w:rsidR="00231E6F" w:rsidRDefault="00231E6F" w:rsidP="00FC6366"/>
        </w:tc>
        <w:tc>
          <w:tcPr>
            <w:tcW w:w="7893" w:type="dxa"/>
          </w:tcPr>
          <w:p w:rsidR="00231E6F" w:rsidRPr="00D63874" w:rsidRDefault="00231E6F" w:rsidP="00FC6366">
            <w:pPr>
              <w:rPr>
                <w:b/>
              </w:rPr>
            </w:pPr>
          </w:p>
        </w:tc>
      </w:tr>
      <w:tr w:rsidR="00231E6F" w:rsidTr="00093CFE">
        <w:tc>
          <w:tcPr>
            <w:tcW w:w="1133" w:type="dxa"/>
          </w:tcPr>
          <w:p w:rsidR="00231E6F" w:rsidRDefault="00231E6F" w:rsidP="00FC6366"/>
        </w:tc>
        <w:tc>
          <w:tcPr>
            <w:tcW w:w="7893" w:type="dxa"/>
          </w:tcPr>
          <w:p w:rsidR="00231E6F" w:rsidRPr="00D63874" w:rsidRDefault="00387C8E" w:rsidP="00FC6366">
            <w:pPr>
              <w:rPr>
                <w:b/>
              </w:rPr>
            </w:pPr>
            <w:r w:rsidRPr="00387C8E">
              <w:rPr>
                <w:b/>
              </w:rPr>
              <w:t>Coventry City Council</w:t>
            </w:r>
          </w:p>
        </w:tc>
      </w:tr>
      <w:tr w:rsidR="00231E6F" w:rsidTr="00093CFE">
        <w:tc>
          <w:tcPr>
            <w:tcW w:w="1133" w:type="dxa"/>
          </w:tcPr>
          <w:p w:rsidR="00231E6F" w:rsidRDefault="00231E6F" w:rsidP="00FC6366"/>
        </w:tc>
        <w:tc>
          <w:tcPr>
            <w:tcW w:w="7893" w:type="dxa"/>
          </w:tcPr>
          <w:p w:rsidR="00231E6F" w:rsidRPr="00D63874" w:rsidRDefault="00231E6F" w:rsidP="00FC6366">
            <w:pPr>
              <w:rPr>
                <w:b/>
              </w:rPr>
            </w:pPr>
          </w:p>
        </w:tc>
      </w:tr>
      <w:tr w:rsidR="00231E6F" w:rsidTr="00093CFE">
        <w:tc>
          <w:tcPr>
            <w:tcW w:w="1133" w:type="dxa"/>
          </w:tcPr>
          <w:p w:rsidR="00231E6F" w:rsidRDefault="00231E6F" w:rsidP="00FC6366"/>
        </w:tc>
        <w:tc>
          <w:tcPr>
            <w:tcW w:w="7893" w:type="dxa"/>
          </w:tcPr>
          <w:p w:rsidR="00231E6F" w:rsidRPr="003D461C" w:rsidRDefault="006B1519" w:rsidP="00FC6366">
            <w:pPr>
              <w:rPr>
                <w:b/>
                <w:highlight w:val="yellow"/>
              </w:rPr>
            </w:pPr>
            <w:r>
              <w:rPr>
                <w:b/>
              </w:rPr>
              <w:t xml:space="preserve">14 </w:t>
            </w:r>
            <w:r w:rsidR="00BC5384">
              <w:rPr>
                <w:b/>
              </w:rPr>
              <w:t>Nov</w:t>
            </w:r>
            <w:r w:rsidR="00387D3A">
              <w:rPr>
                <w:b/>
              </w:rPr>
              <w:t xml:space="preserve">ember </w:t>
            </w:r>
            <w:r w:rsidR="00BC5384">
              <w:rPr>
                <w:b/>
              </w:rPr>
              <w:t xml:space="preserve"> 2018</w:t>
            </w:r>
          </w:p>
        </w:tc>
      </w:tr>
      <w:tr w:rsidR="00231E6F" w:rsidTr="00093CFE">
        <w:tc>
          <w:tcPr>
            <w:tcW w:w="1133" w:type="dxa"/>
          </w:tcPr>
          <w:p w:rsidR="00231E6F" w:rsidRDefault="00231E6F" w:rsidP="00FC6366"/>
        </w:tc>
        <w:tc>
          <w:tcPr>
            <w:tcW w:w="7893" w:type="dxa"/>
          </w:tcPr>
          <w:p w:rsidR="00231E6F" w:rsidRPr="003D461C" w:rsidRDefault="00231E6F" w:rsidP="00FC6366">
            <w:pPr>
              <w:rPr>
                <w:b/>
                <w:highlight w:val="yellow"/>
              </w:rPr>
            </w:pPr>
          </w:p>
        </w:tc>
      </w:tr>
      <w:tr w:rsidR="00231E6F" w:rsidTr="00093CFE">
        <w:tc>
          <w:tcPr>
            <w:tcW w:w="1133" w:type="dxa"/>
          </w:tcPr>
          <w:p w:rsidR="00231E6F" w:rsidRDefault="00231E6F" w:rsidP="00FC6366"/>
        </w:tc>
        <w:tc>
          <w:tcPr>
            <w:tcW w:w="7893" w:type="dxa"/>
          </w:tcPr>
          <w:p w:rsidR="00231E6F" w:rsidRPr="003D461C" w:rsidRDefault="00231E6F" w:rsidP="00FC6366">
            <w:pPr>
              <w:rPr>
                <w:b/>
                <w:highlight w:val="yellow"/>
              </w:rPr>
            </w:pPr>
          </w:p>
        </w:tc>
      </w:tr>
      <w:tr w:rsidR="00231E6F" w:rsidTr="00093CFE">
        <w:tc>
          <w:tcPr>
            <w:tcW w:w="1133" w:type="dxa"/>
          </w:tcPr>
          <w:p w:rsidR="00231E6F" w:rsidRDefault="00231E6F" w:rsidP="00FC6366"/>
        </w:tc>
        <w:tc>
          <w:tcPr>
            <w:tcW w:w="7893" w:type="dxa"/>
          </w:tcPr>
          <w:p w:rsidR="00231E6F" w:rsidRDefault="00231E6F" w:rsidP="00FC6366"/>
        </w:tc>
      </w:tr>
    </w:tbl>
    <w:p w:rsidR="00FC6366" w:rsidRDefault="00FC6366" w:rsidP="00FC6366"/>
    <w:p w:rsidR="00300D42" w:rsidRDefault="00300D42" w:rsidP="00FC6366"/>
    <w:p w:rsidR="00300D42" w:rsidRDefault="00300D42" w:rsidP="00FC6366">
      <w:bookmarkStart w:id="0" w:name="_GoBack"/>
      <w:bookmarkEnd w:id="0"/>
    </w:p>
    <w:sectPr w:rsidR="00300D4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3C2" w:rsidRDefault="009B63C2" w:rsidP="005A5AEE">
      <w:pPr>
        <w:spacing w:after="0" w:line="240" w:lineRule="auto"/>
      </w:pPr>
      <w:r>
        <w:separator/>
      </w:r>
    </w:p>
  </w:endnote>
  <w:endnote w:type="continuationSeparator" w:id="0">
    <w:p w:rsidR="009B63C2" w:rsidRDefault="009B63C2" w:rsidP="005A5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815687"/>
      <w:docPartObj>
        <w:docPartGallery w:val="Page Numbers (Bottom of Page)"/>
        <w:docPartUnique/>
      </w:docPartObj>
    </w:sdtPr>
    <w:sdtEndPr>
      <w:rPr>
        <w:noProof/>
      </w:rPr>
    </w:sdtEndPr>
    <w:sdtContent>
      <w:p w:rsidR="009B63C2" w:rsidRDefault="002C0C18">
        <w:pPr>
          <w:pStyle w:val="Footer"/>
          <w:jc w:val="center"/>
        </w:pPr>
        <w:r>
          <w:t xml:space="preserve"> </w:t>
        </w:r>
        <w:r w:rsidR="009B63C2">
          <w:fldChar w:fldCharType="begin"/>
        </w:r>
        <w:r w:rsidR="009B63C2">
          <w:instrText xml:space="preserve"> PAGE   \* MERGEFORMAT </w:instrText>
        </w:r>
        <w:r w:rsidR="009B63C2">
          <w:fldChar w:fldCharType="separate"/>
        </w:r>
        <w:r w:rsidR="006B1519">
          <w:rPr>
            <w:noProof/>
          </w:rPr>
          <w:t>4</w:t>
        </w:r>
        <w:r w:rsidR="009B63C2">
          <w:rPr>
            <w:noProof/>
          </w:rPr>
          <w:fldChar w:fldCharType="end"/>
        </w:r>
      </w:p>
    </w:sdtContent>
  </w:sdt>
  <w:p w:rsidR="009B63C2" w:rsidRDefault="009B63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3C2" w:rsidRDefault="009B63C2" w:rsidP="005A5AEE">
      <w:pPr>
        <w:spacing w:after="0" w:line="240" w:lineRule="auto"/>
      </w:pPr>
      <w:r>
        <w:separator/>
      </w:r>
    </w:p>
  </w:footnote>
  <w:footnote w:type="continuationSeparator" w:id="0">
    <w:p w:rsidR="009B63C2" w:rsidRDefault="009B63C2" w:rsidP="005A5A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3F69"/>
    <w:multiLevelType w:val="hybridMultilevel"/>
    <w:tmpl w:val="C928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41415"/>
    <w:multiLevelType w:val="hybridMultilevel"/>
    <w:tmpl w:val="B6161466"/>
    <w:lvl w:ilvl="0" w:tplc="9F4A4EF6">
      <w:start w:val="1"/>
      <w:numFmt w:val="upp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10294"/>
    <w:multiLevelType w:val="hybridMultilevel"/>
    <w:tmpl w:val="4DA41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2023E"/>
    <w:multiLevelType w:val="hybridMultilevel"/>
    <w:tmpl w:val="D7A20E60"/>
    <w:lvl w:ilvl="0" w:tplc="477235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52419"/>
    <w:multiLevelType w:val="hybridMultilevel"/>
    <w:tmpl w:val="241A4F2C"/>
    <w:lvl w:ilvl="0" w:tplc="85E639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92D6C"/>
    <w:multiLevelType w:val="hybridMultilevel"/>
    <w:tmpl w:val="42BE07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135643"/>
    <w:multiLevelType w:val="hybridMultilevel"/>
    <w:tmpl w:val="F9C6B9FC"/>
    <w:lvl w:ilvl="0" w:tplc="30B61E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E15CFC"/>
    <w:multiLevelType w:val="hybridMultilevel"/>
    <w:tmpl w:val="DFE01836"/>
    <w:lvl w:ilvl="0" w:tplc="477235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3A508D"/>
    <w:multiLevelType w:val="hybridMultilevel"/>
    <w:tmpl w:val="CE927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EA03B5"/>
    <w:multiLevelType w:val="hybridMultilevel"/>
    <w:tmpl w:val="0A688E7C"/>
    <w:lvl w:ilvl="0" w:tplc="817E65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315BB6"/>
    <w:multiLevelType w:val="hybridMultilevel"/>
    <w:tmpl w:val="316A22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6F65348"/>
    <w:multiLevelType w:val="hybridMultilevel"/>
    <w:tmpl w:val="CCEC2AF2"/>
    <w:lvl w:ilvl="0" w:tplc="477235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CE7516"/>
    <w:multiLevelType w:val="hybridMultilevel"/>
    <w:tmpl w:val="E5523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766066"/>
    <w:multiLevelType w:val="hybridMultilevel"/>
    <w:tmpl w:val="438A7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4B4516"/>
    <w:multiLevelType w:val="hybridMultilevel"/>
    <w:tmpl w:val="B7EE95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95365AF"/>
    <w:multiLevelType w:val="hybridMultilevel"/>
    <w:tmpl w:val="CE288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C57982"/>
    <w:multiLevelType w:val="hybridMultilevel"/>
    <w:tmpl w:val="97564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
  </w:num>
  <w:num w:numId="4">
    <w:abstractNumId w:val="5"/>
  </w:num>
  <w:num w:numId="5">
    <w:abstractNumId w:val="12"/>
  </w:num>
  <w:num w:numId="6">
    <w:abstractNumId w:val="4"/>
  </w:num>
  <w:num w:numId="7">
    <w:abstractNumId w:val="13"/>
  </w:num>
  <w:num w:numId="8">
    <w:abstractNumId w:val="0"/>
  </w:num>
  <w:num w:numId="9">
    <w:abstractNumId w:val="2"/>
  </w:num>
  <w:num w:numId="10">
    <w:abstractNumId w:val="16"/>
  </w:num>
  <w:num w:numId="11">
    <w:abstractNumId w:val="15"/>
  </w:num>
  <w:num w:numId="12">
    <w:abstractNumId w:val="9"/>
  </w:num>
  <w:num w:numId="13">
    <w:abstractNumId w:val="6"/>
  </w:num>
  <w:num w:numId="14">
    <w:abstractNumId w:val="11"/>
  </w:num>
  <w:num w:numId="15">
    <w:abstractNumId w:val="7"/>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366"/>
    <w:rsid w:val="0005559B"/>
    <w:rsid w:val="000563A1"/>
    <w:rsid w:val="000706B9"/>
    <w:rsid w:val="0007508F"/>
    <w:rsid w:val="00093CFE"/>
    <w:rsid w:val="000A3A06"/>
    <w:rsid w:val="000C1517"/>
    <w:rsid w:val="000D15F2"/>
    <w:rsid w:val="0010157A"/>
    <w:rsid w:val="00127116"/>
    <w:rsid w:val="001333E2"/>
    <w:rsid w:val="0013789F"/>
    <w:rsid w:val="00156228"/>
    <w:rsid w:val="00165253"/>
    <w:rsid w:val="001767BD"/>
    <w:rsid w:val="0019476B"/>
    <w:rsid w:val="001B7AD1"/>
    <w:rsid w:val="001C05E0"/>
    <w:rsid w:val="001E0731"/>
    <w:rsid w:val="00210693"/>
    <w:rsid w:val="00231E6F"/>
    <w:rsid w:val="00242500"/>
    <w:rsid w:val="00255BF5"/>
    <w:rsid w:val="00262DF5"/>
    <w:rsid w:val="0026422C"/>
    <w:rsid w:val="00287F45"/>
    <w:rsid w:val="002972A6"/>
    <w:rsid w:val="002B6880"/>
    <w:rsid w:val="002B75C1"/>
    <w:rsid w:val="002C0C18"/>
    <w:rsid w:val="002D3B5B"/>
    <w:rsid w:val="002E7B94"/>
    <w:rsid w:val="00300D42"/>
    <w:rsid w:val="003078B6"/>
    <w:rsid w:val="00322DAD"/>
    <w:rsid w:val="00332795"/>
    <w:rsid w:val="003540CB"/>
    <w:rsid w:val="003769F7"/>
    <w:rsid w:val="00377E8B"/>
    <w:rsid w:val="00387C8E"/>
    <w:rsid w:val="00387D3A"/>
    <w:rsid w:val="00394844"/>
    <w:rsid w:val="003967DB"/>
    <w:rsid w:val="003C593E"/>
    <w:rsid w:val="003D461C"/>
    <w:rsid w:val="003E3C70"/>
    <w:rsid w:val="00437488"/>
    <w:rsid w:val="00467310"/>
    <w:rsid w:val="00485D7D"/>
    <w:rsid w:val="004A75F5"/>
    <w:rsid w:val="004B7C62"/>
    <w:rsid w:val="004C33B0"/>
    <w:rsid w:val="005366C2"/>
    <w:rsid w:val="0057689C"/>
    <w:rsid w:val="00577D9F"/>
    <w:rsid w:val="005A3C3E"/>
    <w:rsid w:val="005A5AEE"/>
    <w:rsid w:val="005A6AAC"/>
    <w:rsid w:val="005E0D6E"/>
    <w:rsid w:val="005F04DE"/>
    <w:rsid w:val="005F4F59"/>
    <w:rsid w:val="00687FE4"/>
    <w:rsid w:val="006A6E53"/>
    <w:rsid w:val="006B1519"/>
    <w:rsid w:val="006E5FC5"/>
    <w:rsid w:val="006F5BA6"/>
    <w:rsid w:val="00742BA3"/>
    <w:rsid w:val="00762CC2"/>
    <w:rsid w:val="00766A1A"/>
    <w:rsid w:val="0079439D"/>
    <w:rsid w:val="007C224C"/>
    <w:rsid w:val="007F7BD7"/>
    <w:rsid w:val="007F7CC5"/>
    <w:rsid w:val="00803FA9"/>
    <w:rsid w:val="008156F2"/>
    <w:rsid w:val="008259DB"/>
    <w:rsid w:val="00834C7B"/>
    <w:rsid w:val="00847668"/>
    <w:rsid w:val="00852A74"/>
    <w:rsid w:val="008F0FBA"/>
    <w:rsid w:val="00910838"/>
    <w:rsid w:val="00921200"/>
    <w:rsid w:val="00940551"/>
    <w:rsid w:val="00950ECA"/>
    <w:rsid w:val="00966864"/>
    <w:rsid w:val="00972269"/>
    <w:rsid w:val="009728C9"/>
    <w:rsid w:val="0098047F"/>
    <w:rsid w:val="009913D1"/>
    <w:rsid w:val="0099729E"/>
    <w:rsid w:val="009A4D84"/>
    <w:rsid w:val="009B63C2"/>
    <w:rsid w:val="009C46A5"/>
    <w:rsid w:val="00A06D43"/>
    <w:rsid w:val="00A11A65"/>
    <w:rsid w:val="00A36451"/>
    <w:rsid w:val="00A60E97"/>
    <w:rsid w:val="00A81F62"/>
    <w:rsid w:val="00AD4AC5"/>
    <w:rsid w:val="00AD6205"/>
    <w:rsid w:val="00AE1D5C"/>
    <w:rsid w:val="00AF0357"/>
    <w:rsid w:val="00B2783F"/>
    <w:rsid w:val="00B335F1"/>
    <w:rsid w:val="00B66536"/>
    <w:rsid w:val="00B7552D"/>
    <w:rsid w:val="00BA4AA3"/>
    <w:rsid w:val="00BC31A8"/>
    <w:rsid w:val="00BC5384"/>
    <w:rsid w:val="00BD33E7"/>
    <w:rsid w:val="00C1433D"/>
    <w:rsid w:val="00C1478D"/>
    <w:rsid w:val="00C164D3"/>
    <w:rsid w:val="00C17060"/>
    <w:rsid w:val="00C239C8"/>
    <w:rsid w:val="00C631B8"/>
    <w:rsid w:val="00C642DC"/>
    <w:rsid w:val="00C66D3D"/>
    <w:rsid w:val="00C843DA"/>
    <w:rsid w:val="00C93DA1"/>
    <w:rsid w:val="00C95D5A"/>
    <w:rsid w:val="00CB1016"/>
    <w:rsid w:val="00CC1E5B"/>
    <w:rsid w:val="00CE62DE"/>
    <w:rsid w:val="00D034CE"/>
    <w:rsid w:val="00D11C02"/>
    <w:rsid w:val="00D36399"/>
    <w:rsid w:val="00D530BE"/>
    <w:rsid w:val="00D63874"/>
    <w:rsid w:val="00D732BC"/>
    <w:rsid w:val="00DA044E"/>
    <w:rsid w:val="00DA2563"/>
    <w:rsid w:val="00DB6447"/>
    <w:rsid w:val="00DB6690"/>
    <w:rsid w:val="00DC1ED4"/>
    <w:rsid w:val="00DE4F73"/>
    <w:rsid w:val="00DF16ED"/>
    <w:rsid w:val="00E0249C"/>
    <w:rsid w:val="00E0724F"/>
    <w:rsid w:val="00E174F1"/>
    <w:rsid w:val="00E42AB9"/>
    <w:rsid w:val="00E43E1F"/>
    <w:rsid w:val="00E47820"/>
    <w:rsid w:val="00E55C6B"/>
    <w:rsid w:val="00E6001B"/>
    <w:rsid w:val="00E65908"/>
    <w:rsid w:val="00E84B67"/>
    <w:rsid w:val="00EC05C1"/>
    <w:rsid w:val="00EE6675"/>
    <w:rsid w:val="00EF4E27"/>
    <w:rsid w:val="00F14EE6"/>
    <w:rsid w:val="00F4508F"/>
    <w:rsid w:val="00FC350B"/>
    <w:rsid w:val="00FC6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11C948-67AA-4FFF-969E-0F9F666F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22C"/>
    <w:pPr>
      <w:ind w:left="720"/>
      <w:contextualSpacing/>
    </w:pPr>
  </w:style>
  <w:style w:type="table" w:styleId="TableGrid">
    <w:name w:val="Table Grid"/>
    <w:basedOn w:val="TableNormal"/>
    <w:uiPriority w:val="59"/>
    <w:rsid w:val="00264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5A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AEE"/>
  </w:style>
  <w:style w:type="paragraph" w:styleId="Footer">
    <w:name w:val="footer"/>
    <w:basedOn w:val="Normal"/>
    <w:link w:val="FooterChar"/>
    <w:uiPriority w:val="99"/>
    <w:unhideWhenUsed/>
    <w:rsid w:val="005A5A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AEE"/>
  </w:style>
  <w:style w:type="character" w:styleId="CommentReference">
    <w:name w:val="annotation reference"/>
    <w:basedOn w:val="DefaultParagraphFont"/>
    <w:uiPriority w:val="99"/>
    <w:semiHidden/>
    <w:unhideWhenUsed/>
    <w:rsid w:val="000D15F2"/>
    <w:rPr>
      <w:sz w:val="16"/>
      <w:szCs w:val="16"/>
    </w:rPr>
  </w:style>
  <w:style w:type="paragraph" w:styleId="CommentText">
    <w:name w:val="annotation text"/>
    <w:basedOn w:val="Normal"/>
    <w:link w:val="CommentTextChar"/>
    <w:uiPriority w:val="99"/>
    <w:semiHidden/>
    <w:unhideWhenUsed/>
    <w:rsid w:val="000D15F2"/>
    <w:pPr>
      <w:spacing w:line="240" w:lineRule="auto"/>
    </w:pPr>
    <w:rPr>
      <w:sz w:val="20"/>
      <w:szCs w:val="20"/>
    </w:rPr>
  </w:style>
  <w:style w:type="character" w:customStyle="1" w:styleId="CommentTextChar">
    <w:name w:val="Comment Text Char"/>
    <w:basedOn w:val="DefaultParagraphFont"/>
    <w:link w:val="CommentText"/>
    <w:uiPriority w:val="99"/>
    <w:semiHidden/>
    <w:rsid w:val="000D15F2"/>
    <w:rPr>
      <w:sz w:val="20"/>
      <w:szCs w:val="20"/>
    </w:rPr>
  </w:style>
  <w:style w:type="paragraph" w:styleId="CommentSubject">
    <w:name w:val="annotation subject"/>
    <w:basedOn w:val="CommentText"/>
    <w:next w:val="CommentText"/>
    <w:link w:val="CommentSubjectChar"/>
    <w:uiPriority w:val="99"/>
    <w:semiHidden/>
    <w:unhideWhenUsed/>
    <w:rsid w:val="000D15F2"/>
    <w:rPr>
      <w:b/>
      <w:bCs/>
    </w:rPr>
  </w:style>
  <w:style w:type="character" w:customStyle="1" w:styleId="CommentSubjectChar">
    <w:name w:val="Comment Subject Char"/>
    <w:basedOn w:val="CommentTextChar"/>
    <w:link w:val="CommentSubject"/>
    <w:uiPriority w:val="99"/>
    <w:semiHidden/>
    <w:rsid w:val="000D15F2"/>
    <w:rPr>
      <w:b/>
      <w:bCs/>
      <w:sz w:val="20"/>
      <w:szCs w:val="20"/>
    </w:rPr>
  </w:style>
  <w:style w:type="paragraph" w:styleId="BalloonText">
    <w:name w:val="Balloon Text"/>
    <w:basedOn w:val="Normal"/>
    <w:link w:val="BalloonTextChar"/>
    <w:uiPriority w:val="99"/>
    <w:semiHidden/>
    <w:unhideWhenUsed/>
    <w:rsid w:val="000D1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929114">
      <w:bodyDiv w:val="1"/>
      <w:marLeft w:val="0"/>
      <w:marRight w:val="0"/>
      <w:marTop w:val="0"/>
      <w:marBottom w:val="0"/>
      <w:divBdr>
        <w:top w:val="none" w:sz="0" w:space="0" w:color="auto"/>
        <w:left w:val="none" w:sz="0" w:space="0" w:color="auto"/>
        <w:bottom w:val="none" w:sz="0" w:space="0" w:color="auto"/>
        <w:right w:val="none" w:sz="0" w:space="0" w:color="auto"/>
      </w:divBdr>
    </w:div>
    <w:div w:id="1016998344">
      <w:bodyDiv w:val="1"/>
      <w:marLeft w:val="0"/>
      <w:marRight w:val="0"/>
      <w:marTop w:val="0"/>
      <w:marBottom w:val="0"/>
      <w:divBdr>
        <w:top w:val="none" w:sz="0" w:space="0" w:color="auto"/>
        <w:left w:val="none" w:sz="0" w:space="0" w:color="auto"/>
        <w:bottom w:val="none" w:sz="0" w:space="0" w:color="auto"/>
        <w:right w:val="none" w:sz="0" w:space="0" w:color="auto"/>
      </w:divBdr>
    </w:div>
    <w:div w:id="18359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AEC03-40B3-422E-AC18-C82A9DDCA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1144</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Bradford, Carol</cp:lastModifiedBy>
  <cp:revision>2</cp:revision>
  <cp:lastPrinted>2015-11-09T09:49:00Z</cp:lastPrinted>
  <dcterms:created xsi:type="dcterms:W3CDTF">2018-11-14T11:07:00Z</dcterms:created>
  <dcterms:modified xsi:type="dcterms:W3CDTF">2018-11-14T11:07:00Z</dcterms:modified>
</cp:coreProperties>
</file>